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576" w:lineRule="exact"/>
        <w:jc w:val="center"/>
        <w:textAlignment w:val="auto"/>
        <w:rPr>
          <w:rFonts w:hint="eastAsia" w:ascii="黑体" w:eastAsia="黑体"/>
          <w:b/>
          <w:sz w:val="52"/>
          <w:szCs w:val="52"/>
        </w:rPr>
      </w:pPr>
    </w:p>
    <w:p>
      <w:pPr>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sz w:val="52"/>
          <w:szCs w:val="52"/>
        </w:rPr>
      </w:pPr>
      <w:r>
        <w:rPr>
          <w:rFonts w:hint="eastAsia" w:ascii="方正小标宋简体" w:hAnsi="方正小标宋简体" w:eastAsia="方正小标宋简体" w:cs="方正小标宋简体"/>
          <w:b w:val="0"/>
          <w:bCs/>
          <w:sz w:val="52"/>
          <w:szCs w:val="52"/>
        </w:rPr>
        <w:t>林芝市发展和改革委员会</w:t>
      </w:r>
    </w:p>
    <w:p>
      <w:pPr>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sz w:val="52"/>
          <w:szCs w:val="52"/>
        </w:rPr>
      </w:pPr>
      <w:r>
        <w:rPr>
          <w:rFonts w:hint="eastAsia" w:ascii="方正小标宋简体" w:hAnsi="方正小标宋简体" w:eastAsia="方正小标宋简体" w:cs="方正小标宋简体"/>
          <w:b w:val="0"/>
          <w:bCs/>
          <w:sz w:val="52"/>
          <w:szCs w:val="52"/>
        </w:rPr>
        <w:t>20</w:t>
      </w:r>
      <w:r>
        <w:rPr>
          <w:rFonts w:hint="eastAsia" w:ascii="方正小标宋简体" w:hAnsi="方正小标宋简体" w:eastAsia="方正小标宋简体" w:cs="方正小标宋简体"/>
          <w:b w:val="0"/>
          <w:bCs/>
          <w:sz w:val="52"/>
          <w:szCs w:val="52"/>
          <w:lang w:val="en-US" w:eastAsia="zh-CN"/>
        </w:rPr>
        <w:t>23</w:t>
      </w:r>
      <w:r>
        <w:rPr>
          <w:rFonts w:hint="eastAsia" w:ascii="方正小标宋简体" w:hAnsi="方正小标宋简体" w:eastAsia="方正小标宋简体" w:cs="方正小标宋简体"/>
          <w:b w:val="0"/>
          <w:bCs/>
          <w:sz w:val="52"/>
          <w:szCs w:val="52"/>
        </w:rPr>
        <w:t>年度部门预算</w:t>
      </w:r>
    </w:p>
    <w:p>
      <w:pPr>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 20</w:t>
      </w:r>
      <w:r>
        <w:rPr>
          <w:rFonts w:hint="eastAsia" w:ascii="仿宋_GB2312" w:hAnsi="仿宋_GB2312" w:eastAsia="仿宋_GB2312" w:cs="仿宋_GB2312"/>
          <w:sz w:val="32"/>
          <w:szCs w:val="32"/>
          <w:u w:val="none"/>
          <w:lang w:val="en-US" w:eastAsia="zh-CN"/>
        </w:rPr>
        <w:t>23</w:t>
      </w:r>
      <w:r>
        <w:rPr>
          <w:rFonts w:hint="eastAsia" w:ascii="仿宋_GB2312" w:hAnsi="仿宋_GB2312" w:eastAsia="仿宋_GB2312" w:cs="仿宋_GB2312"/>
          <w:sz w:val="32"/>
          <w:szCs w:val="32"/>
          <w:u w:val="none"/>
        </w:rPr>
        <w:t xml:space="preserve"> 年 </w:t>
      </w:r>
      <w:r>
        <w:rPr>
          <w:rFonts w:hint="eastAsia" w:ascii="仿宋_GB2312" w:hAnsi="仿宋_GB2312" w:eastAsia="仿宋_GB2312" w:cs="仿宋_GB2312"/>
          <w:sz w:val="32"/>
          <w:szCs w:val="32"/>
          <w:u w:val="none"/>
          <w:lang w:val="en-US" w:eastAsia="zh-CN"/>
        </w:rPr>
        <w:t>1</w:t>
      </w:r>
      <w:r>
        <w:rPr>
          <w:rFonts w:hint="eastAsia" w:ascii="仿宋_GB2312" w:hAnsi="仿宋_GB2312" w:eastAsia="仿宋_GB2312" w:cs="仿宋_GB2312"/>
          <w:sz w:val="32"/>
          <w:szCs w:val="32"/>
          <w:u w:val="none"/>
        </w:rPr>
        <w:t xml:space="preserve"> 月 </w:t>
      </w:r>
      <w:r>
        <w:rPr>
          <w:rFonts w:hint="eastAsia" w:ascii="仿宋_GB2312" w:hAnsi="仿宋_GB2312" w:eastAsia="仿宋_GB2312" w:cs="仿宋_GB2312"/>
          <w:sz w:val="32"/>
          <w:szCs w:val="32"/>
          <w:u w:val="none"/>
          <w:lang w:val="en-US" w:eastAsia="zh-CN"/>
        </w:rPr>
        <w:t>12</w:t>
      </w:r>
      <w:r>
        <w:rPr>
          <w:rFonts w:hint="eastAsia" w:ascii="仿宋_GB2312" w:hAnsi="仿宋_GB2312" w:eastAsia="仿宋_GB2312" w:cs="仿宋_GB2312"/>
          <w:sz w:val="32"/>
          <w:szCs w:val="32"/>
          <w:u w:val="none"/>
        </w:rPr>
        <w:t>日</w:t>
      </w:r>
    </w:p>
    <w:p>
      <w:pPr>
        <w:pageBreakBefore w:val="0"/>
        <w:widowControl w:val="0"/>
        <w:kinsoku/>
        <w:wordWrap/>
        <w:overflowPunct/>
        <w:topLinePunct w:val="0"/>
        <w:autoSpaceDE/>
        <w:autoSpaceDN/>
        <w:bidi w:val="0"/>
        <w:adjustRightInd/>
        <w:snapToGrid/>
        <w:spacing w:line="576" w:lineRule="exact"/>
        <w:textAlignment w:val="auto"/>
        <w:rPr>
          <w:rFonts w:hint="eastAsia"/>
          <w:sz w:val="44"/>
          <w:szCs w:val="44"/>
        </w:rPr>
      </w:pPr>
    </w:p>
    <w:p>
      <w:pPr>
        <w:pageBreakBefore w:val="0"/>
        <w:widowControl w:val="0"/>
        <w:kinsoku/>
        <w:wordWrap/>
        <w:overflowPunct/>
        <w:topLinePunct w:val="0"/>
        <w:autoSpaceDE/>
        <w:autoSpaceDN/>
        <w:bidi w:val="0"/>
        <w:adjustRightInd/>
        <w:snapToGrid/>
        <w:spacing w:line="576" w:lineRule="exact"/>
        <w:textAlignment w:val="auto"/>
        <w:rPr>
          <w:rFonts w:hint="eastAsia"/>
          <w:sz w:val="44"/>
          <w:szCs w:val="44"/>
        </w:rPr>
      </w:pPr>
    </w:p>
    <w:p>
      <w:pPr>
        <w:pageBreakBefore w:val="0"/>
        <w:widowControl w:val="0"/>
        <w:kinsoku/>
        <w:wordWrap/>
        <w:overflowPunct/>
        <w:topLinePunct w:val="0"/>
        <w:autoSpaceDE/>
        <w:autoSpaceDN/>
        <w:bidi w:val="0"/>
        <w:adjustRightInd/>
        <w:snapToGrid/>
        <w:spacing w:line="576" w:lineRule="exact"/>
        <w:jc w:val="center"/>
        <w:textAlignment w:val="auto"/>
        <w:rPr>
          <w:rFonts w:hint="eastAsia" w:ascii="宋体" w:hAnsi="宋体"/>
          <w:b/>
          <w:sz w:val="40"/>
          <w:szCs w:val="40"/>
        </w:rPr>
      </w:pPr>
    </w:p>
    <w:p>
      <w:pPr>
        <w:pageBreakBefore w:val="0"/>
        <w:widowControl w:val="0"/>
        <w:kinsoku/>
        <w:wordWrap/>
        <w:overflowPunct/>
        <w:topLinePunct w:val="0"/>
        <w:autoSpaceDE/>
        <w:autoSpaceDN/>
        <w:bidi w:val="0"/>
        <w:adjustRightInd/>
        <w:snapToGrid/>
        <w:spacing w:line="576" w:lineRule="exact"/>
        <w:jc w:val="center"/>
        <w:textAlignment w:val="auto"/>
        <w:rPr>
          <w:rFonts w:hint="eastAsia" w:ascii="宋体" w:hAnsi="宋体"/>
          <w:b/>
          <w:sz w:val="40"/>
          <w:szCs w:val="40"/>
        </w:rPr>
      </w:pPr>
      <w:r>
        <w:rPr>
          <w:rFonts w:hint="eastAsia" w:ascii="黑体" w:hAnsi="黑体" w:eastAsia="黑体" w:cs="黑体"/>
          <w:b/>
          <w:sz w:val="40"/>
          <w:szCs w:val="40"/>
        </w:rPr>
        <w:t>目  录</w:t>
      </w:r>
    </w:p>
    <w:p>
      <w:pPr>
        <w:pageBreakBefore w:val="0"/>
        <w:widowControl w:val="0"/>
        <w:kinsoku/>
        <w:wordWrap/>
        <w:overflowPunct/>
        <w:topLinePunct w:val="0"/>
        <w:autoSpaceDE/>
        <w:autoSpaceDN/>
        <w:bidi w:val="0"/>
        <w:adjustRightInd/>
        <w:snapToGrid/>
        <w:spacing w:line="576" w:lineRule="exact"/>
        <w:textAlignment w:val="auto"/>
        <w:rPr>
          <w:rFonts w:hint="eastAsia" w:ascii="宋体" w:hAnsi="宋体"/>
          <w:b/>
          <w:sz w:val="40"/>
          <w:szCs w:val="40"/>
        </w:rPr>
      </w:pPr>
    </w:p>
    <w:p>
      <w:pPr>
        <w:pageBreakBefore w:val="0"/>
        <w:widowControl w:val="0"/>
        <w:kinsoku/>
        <w:wordWrap/>
        <w:overflowPunct/>
        <w:topLinePunct w:val="0"/>
        <w:autoSpaceDE/>
        <w:autoSpaceDN/>
        <w:bidi w:val="0"/>
        <w:adjustRightInd/>
        <w:snapToGrid/>
        <w:spacing w:before="312" w:beforeLines="100" w:after="312" w:afterLines="100" w:line="576" w:lineRule="exact"/>
        <w:textAlignment w:val="auto"/>
        <w:rPr>
          <w:rFonts w:hint="eastAsia" w:ascii="黑体" w:hAnsi="宋体" w:eastAsia="黑体"/>
          <w:sz w:val="32"/>
          <w:szCs w:val="32"/>
        </w:rPr>
      </w:pPr>
      <w:r>
        <w:rPr>
          <w:rFonts w:hint="eastAsia" w:ascii="黑体" w:hAnsi="宋体" w:eastAsia="黑体"/>
          <w:sz w:val="32"/>
          <w:szCs w:val="32"/>
        </w:rPr>
        <w:t>第一部分  概况</w:t>
      </w:r>
    </w:p>
    <w:p>
      <w:pPr>
        <w:pageBreakBefore w:val="0"/>
        <w:widowControl w:val="0"/>
        <w:kinsoku/>
        <w:wordWrap/>
        <w:overflowPunct/>
        <w:topLinePunct w:val="0"/>
        <w:autoSpaceDE/>
        <w:autoSpaceDN/>
        <w:bidi w:val="0"/>
        <w:adjustRightInd/>
        <w:snapToGrid/>
        <w:spacing w:before="312" w:beforeLines="100" w:after="312" w:afterLines="100" w:line="576"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一、部门预算单位构成</w:t>
      </w:r>
    </w:p>
    <w:p>
      <w:pPr>
        <w:pageBreakBefore w:val="0"/>
        <w:widowControl w:val="0"/>
        <w:kinsoku/>
        <w:wordWrap/>
        <w:overflowPunct/>
        <w:topLinePunct w:val="0"/>
        <w:autoSpaceDE/>
        <w:autoSpaceDN/>
        <w:bidi w:val="0"/>
        <w:adjustRightInd/>
        <w:snapToGrid/>
        <w:spacing w:before="312" w:beforeLines="100" w:after="312" w:afterLines="100" w:line="576"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二、部门职责和机构设置</w:t>
      </w:r>
    </w:p>
    <w:p>
      <w:pPr>
        <w:pageBreakBefore w:val="0"/>
        <w:widowControl w:val="0"/>
        <w:kinsoku/>
        <w:wordWrap/>
        <w:overflowPunct/>
        <w:topLinePunct w:val="0"/>
        <w:autoSpaceDE/>
        <w:autoSpaceDN/>
        <w:bidi w:val="0"/>
        <w:adjustRightInd/>
        <w:snapToGrid/>
        <w:spacing w:before="312" w:beforeLines="100" w:after="312" w:afterLines="100" w:line="576" w:lineRule="exact"/>
        <w:textAlignment w:val="auto"/>
        <w:rPr>
          <w:rFonts w:hint="eastAsia" w:ascii="黑体" w:hAnsi="宋体" w:eastAsia="黑体"/>
          <w:sz w:val="32"/>
          <w:szCs w:val="32"/>
        </w:rPr>
      </w:pPr>
      <w:r>
        <w:rPr>
          <w:rFonts w:hint="eastAsia" w:ascii="黑体" w:hAnsi="宋体" w:eastAsia="黑体"/>
          <w:sz w:val="32"/>
          <w:szCs w:val="32"/>
        </w:rPr>
        <w:t xml:space="preserve">第二部分 </w:t>
      </w:r>
      <w:r>
        <w:rPr>
          <w:rFonts w:hint="eastAsia" w:ascii="黑体" w:hAnsi="宋体" w:eastAsia="黑体"/>
          <w:sz w:val="32"/>
          <w:szCs w:val="32"/>
          <w:lang w:val="en-US" w:eastAsia="zh-CN"/>
        </w:rPr>
        <w:t xml:space="preserve"> 2023</w:t>
      </w:r>
      <w:r>
        <w:rPr>
          <w:rFonts w:hint="eastAsia" w:ascii="黑体" w:hAnsi="宋体" w:eastAsia="黑体"/>
          <w:sz w:val="32"/>
          <w:szCs w:val="32"/>
        </w:rPr>
        <w:t>年度部门预算明细表</w:t>
      </w:r>
    </w:p>
    <w:p>
      <w:pPr>
        <w:pageBreakBefore w:val="0"/>
        <w:widowControl w:val="0"/>
        <w:kinsoku/>
        <w:wordWrap/>
        <w:overflowPunct/>
        <w:topLinePunct w:val="0"/>
        <w:autoSpaceDE/>
        <w:autoSpaceDN/>
        <w:bidi w:val="0"/>
        <w:adjustRightInd/>
        <w:snapToGrid/>
        <w:spacing w:before="312" w:beforeLines="100" w:after="312" w:afterLines="100" w:line="576"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一、财政拨款收支总表</w:t>
      </w:r>
    </w:p>
    <w:p>
      <w:pPr>
        <w:pageBreakBefore w:val="0"/>
        <w:widowControl w:val="0"/>
        <w:kinsoku/>
        <w:wordWrap/>
        <w:overflowPunct/>
        <w:topLinePunct w:val="0"/>
        <w:autoSpaceDE/>
        <w:autoSpaceDN/>
        <w:bidi w:val="0"/>
        <w:adjustRightInd/>
        <w:snapToGrid/>
        <w:spacing w:before="312" w:beforeLines="100" w:after="312" w:afterLines="100" w:line="576"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二、一般公共预算支出表</w:t>
      </w:r>
    </w:p>
    <w:p>
      <w:pPr>
        <w:pageBreakBefore w:val="0"/>
        <w:widowControl w:val="0"/>
        <w:kinsoku/>
        <w:wordWrap/>
        <w:overflowPunct/>
        <w:topLinePunct w:val="0"/>
        <w:autoSpaceDE/>
        <w:autoSpaceDN/>
        <w:bidi w:val="0"/>
        <w:adjustRightInd/>
        <w:snapToGrid/>
        <w:spacing w:before="312" w:beforeLines="100" w:after="312" w:afterLines="100" w:line="576"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三、一般公共预算基本支出表</w:t>
      </w:r>
    </w:p>
    <w:p>
      <w:pPr>
        <w:pageBreakBefore w:val="0"/>
        <w:widowControl w:val="0"/>
        <w:kinsoku/>
        <w:wordWrap/>
        <w:overflowPunct/>
        <w:topLinePunct w:val="0"/>
        <w:autoSpaceDE/>
        <w:autoSpaceDN/>
        <w:bidi w:val="0"/>
        <w:adjustRightInd/>
        <w:snapToGrid/>
        <w:spacing w:before="312" w:beforeLines="100" w:after="312" w:afterLines="100" w:line="576"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四、一般公共预算“三公”经费支出表</w:t>
      </w:r>
    </w:p>
    <w:p>
      <w:pPr>
        <w:pageBreakBefore w:val="0"/>
        <w:widowControl w:val="0"/>
        <w:kinsoku/>
        <w:wordWrap/>
        <w:overflowPunct/>
        <w:topLinePunct w:val="0"/>
        <w:autoSpaceDE/>
        <w:autoSpaceDN/>
        <w:bidi w:val="0"/>
        <w:adjustRightInd/>
        <w:snapToGrid/>
        <w:spacing w:before="312" w:beforeLines="100" w:after="312" w:afterLines="100" w:line="576"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五、政府性基金预算支出表</w:t>
      </w:r>
    </w:p>
    <w:p>
      <w:pPr>
        <w:pageBreakBefore w:val="0"/>
        <w:widowControl w:val="0"/>
        <w:kinsoku/>
        <w:wordWrap/>
        <w:overflowPunct/>
        <w:topLinePunct w:val="0"/>
        <w:autoSpaceDE/>
        <w:autoSpaceDN/>
        <w:bidi w:val="0"/>
        <w:adjustRightInd/>
        <w:snapToGrid/>
        <w:spacing w:before="312" w:beforeLines="100" w:after="312" w:afterLines="100" w:line="576"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六、部门收支总表</w:t>
      </w:r>
    </w:p>
    <w:p>
      <w:pPr>
        <w:pageBreakBefore w:val="0"/>
        <w:widowControl w:val="0"/>
        <w:kinsoku/>
        <w:wordWrap/>
        <w:overflowPunct/>
        <w:topLinePunct w:val="0"/>
        <w:autoSpaceDE/>
        <w:autoSpaceDN/>
        <w:bidi w:val="0"/>
        <w:adjustRightInd/>
        <w:snapToGrid/>
        <w:spacing w:before="312" w:beforeLines="100" w:after="312" w:afterLines="100" w:line="576"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七、部门收入总表</w:t>
      </w:r>
    </w:p>
    <w:p>
      <w:pPr>
        <w:pageBreakBefore w:val="0"/>
        <w:widowControl w:val="0"/>
        <w:kinsoku/>
        <w:wordWrap/>
        <w:overflowPunct/>
        <w:topLinePunct w:val="0"/>
        <w:autoSpaceDE/>
        <w:autoSpaceDN/>
        <w:bidi w:val="0"/>
        <w:adjustRightInd/>
        <w:snapToGrid/>
        <w:spacing w:before="312" w:beforeLines="100" w:after="312" w:afterLines="100" w:line="576"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八、部门支出总表</w:t>
      </w:r>
    </w:p>
    <w:p>
      <w:pPr>
        <w:pageBreakBefore w:val="0"/>
        <w:widowControl w:val="0"/>
        <w:kinsoku/>
        <w:wordWrap/>
        <w:overflowPunct/>
        <w:topLinePunct w:val="0"/>
        <w:autoSpaceDE/>
        <w:autoSpaceDN/>
        <w:bidi w:val="0"/>
        <w:adjustRightInd/>
        <w:snapToGrid/>
        <w:spacing w:before="312" w:beforeLines="100" w:after="312" w:afterLines="100" w:line="576" w:lineRule="exact"/>
        <w:textAlignment w:val="auto"/>
        <w:rPr>
          <w:rFonts w:hint="eastAsia" w:ascii="黑体" w:hAnsi="宋体" w:eastAsia="黑体"/>
          <w:sz w:val="32"/>
          <w:szCs w:val="32"/>
        </w:rPr>
      </w:pPr>
      <w:r>
        <w:rPr>
          <w:rFonts w:hint="eastAsia" w:ascii="黑体" w:hAnsi="宋体" w:eastAsia="黑体"/>
          <w:sz w:val="32"/>
          <w:szCs w:val="32"/>
        </w:rPr>
        <w:t xml:space="preserve">第三部分 </w:t>
      </w:r>
      <w:r>
        <w:rPr>
          <w:rFonts w:hint="eastAsia" w:ascii="黑体" w:hAnsi="宋体" w:eastAsia="黑体"/>
          <w:sz w:val="32"/>
          <w:szCs w:val="32"/>
          <w:lang w:val="en-US" w:eastAsia="zh-CN"/>
        </w:rPr>
        <w:t xml:space="preserve"> 2023</w:t>
      </w:r>
      <w:r>
        <w:rPr>
          <w:rFonts w:hint="eastAsia" w:ascii="黑体" w:hAnsi="宋体" w:eastAsia="黑体"/>
          <w:sz w:val="32"/>
          <w:szCs w:val="32"/>
        </w:rPr>
        <w:t>年度部门预算数据分析</w:t>
      </w:r>
    </w:p>
    <w:p>
      <w:pPr>
        <w:pageBreakBefore w:val="0"/>
        <w:widowControl w:val="0"/>
        <w:kinsoku/>
        <w:wordWrap/>
        <w:overflowPunct/>
        <w:topLinePunct w:val="0"/>
        <w:autoSpaceDE/>
        <w:autoSpaceDN/>
        <w:bidi w:val="0"/>
        <w:adjustRightInd/>
        <w:snapToGrid/>
        <w:spacing w:before="312" w:beforeLines="100" w:after="312" w:afterLines="100" w:line="576" w:lineRule="exact"/>
        <w:textAlignment w:val="auto"/>
        <w:rPr>
          <w:rFonts w:hint="eastAsia" w:ascii="黑体" w:hAnsi="宋体" w:eastAsia="黑体"/>
          <w:sz w:val="32"/>
          <w:szCs w:val="32"/>
        </w:rPr>
      </w:pPr>
      <w:r>
        <w:rPr>
          <w:rFonts w:hint="eastAsia" w:ascii="黑体" w:hAnsi="宋体" w:eastAsia="黑体"/>
          <w:sz w:val="32"/>
          <w:szCs w:val="32"/>
        </w:rPr>
        <w:t>第四部分  名词解释</w:t>
      </w:r>
    </w:p>
    <w:p>
      <w:pPr>
        <w:pageBreakBefore w:val="0"/>
        <w:widowControl w:val="0"/>
        <w:kinsoku/>
        <w:wordWrap/>
        <w:overflowPunct/>
        <w:topLinePunct w:val="0"/>
        <w:autoSpaceDE/>
        <w:autoSpaceDN/>
        <w:bidi w:val="0"/>
        <w:adjustRightInd/>
        <w:snapToGrid/>
        <w:spacing w:line="576" w:lineRule="exact"/>
        <w:jc w:val="center"/>
        <w:textAlignment w:val="auto"/>
        <w:rPr>
          <w:rFonts w:hint="eastAsia" w:ascii="宋体" w:hAnsi="宋体"/>
          <w:b/>
          <w:sz w:val="40"/>
          <w:szCs w:val="40"/>
        </w:rPr>
      </w:pPr>
    </w:p>
    <w:p>
      <w:pPr>
        <w:pageBreakBefore w:val="0"/>
        <w:widowControl w:val="0"/>
        <w:kinsoku/>
        <w:wordWrap/>
        <w:overflowPunct/>
        <w:topLinePunct w:val="0"/>
        <w:autoSpaceDE/>
        <w:autoSpaceDN/>
        <w:bidi w:val="0"/>
        <w:adjustRightInd/>
        <w:snapToGrid/>
        <w:spacing w:line="576" w:lineRule="exact"/>
        <w:jc w:val="center"/>
        <w:textAlignment w:val="auto"/>
        <w:rPr>
          <w:rFonts w:hint="eastAsia" w:ascii="宋体" w:hAnsi="宋体"/>
          <w:b/>
          <w:sz w:val="40"/>
          <w:szCs w:val="40"/>
        </w:rPr>
      </w:pPr>
    </w:p>
    <w:p>
      <w:pPr>
        <w:pageBreakBefore w:val="0"/>
        <w:widowControl w:val="0"/>
        <w:kinsoku/>
        <w:wordWrap/>
        <w:overflowPunct/>
        <w:topLinePunct w:val="0"/>
        <w:autoSpaceDE/>
        <w:autoSpaceDN/>
        <w:bidi w:val="0"/>
        <w:adjustRightInd/>
        <w:snapToGrid/>
        <w:spacing w:line="576" w:lineRule="exact"/>
        <w:jc w:val="center"/>
        <w:textAlignment w:val="auto"/>
        <w:rPr>
          <w:rFonts w:hint="eastAsia" w:ascii="宋体" w:hAnsi="宋体"/>
          <w:b/>
          <w:sz w:val="40"/>
          <w:szCs w:val="40"/>
        </w:rPr>
      </w:pPr>
    </w:p>
    <w:p>
      <w:pPr>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第一部分</w:t>
      </w:r>
    </w:p>
    <w:p>
      <w:pPr>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 </w:t>
      </w:r>
    </w:p>
    <w:p>
      <w:pPr>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林芝市发展和改革委员会概况</w:t>
      </w:r>
    </w:p>
    <w:p>
      <w:pPr>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宋体" w:eastAsia="黑体"/>
          <w:sz w:val="48"/>
          <w:szCs w:val="48"/>
        </w:rPr>
      </w:pPr>
    </w:p>
    <w:p>
      <w:pPr>
        <w:pageBreakBefore w:val="0"/>
        <w:widowControl w:val="0"/>
        <w:kinsoku/>
        <w:wordWrap/>
        <w:overflowPunct/>
        <w:topLinePunct w:val="0"/>
        <w:autoSpaceDE/>
        <w:autoSpaceDN/>
        <w:bidi w:val="0"/>
        <w:adjustRightInd/>
        <w:snapToGrid/>
        <w:spacing w:line="576" w:lineRule="exact"/>
        <w:ind w:firstLine="630" w:firstLineChars="196"/>
        <w:textAlignment w:val="auto"/>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一、部门预算单位构成</w:t>
      </w:r>
    </w:p>
    <w:p>
      <w:pPr>
        <w:pageBreakBefore w:val="0"/>
        <w:widowControl w:val="0"/>
        <w:kinsoku/>
        <w:wordWrap/>
        <w:overflowPunct/>
        <w:topLinePunct w:val="0"/>
        <w:autoSpaceDE/>
        <w:autoSpaceDN/>
        <w:bidi w:val="0"/>
        <w:adjustRightInd/>
        <w:snapToGrid/>
        <w:spacing w:line="576" w:lineRule="exact"/>
        <w:ind w:firstLine="627" w:firstLineChars="196"/>
        <w:textAlignment w:val="auto"/>
        <w:rPr>
          <w:rFonts w:hint="eastAsia" w:ascii="仿宋_GB2312" w:eastAsia="仿宋_GB2312"/>
          <w:sz w:val="32"/>
          <w:szCs w:val="32"/>
        </w:rPr>
      </w:pPr>
      <w:r>
        <w:rPr>
          <w:rFonts w:hint="eastAsia" w:ascii="仿宋_GB2312" w:eastAsia="仿宋_GB2312"/>
          <w:sz w:val="32"/>
          <w:szCs w:val="32"/>
        </w:rPr>
        <w:t>无</w:t>
      </w:r>
      <w:r>
        <w:rPr>
          <w:rFonts w:ascii="仿宋_GB2312" w:eastAsia="仿宋_GB2312"/>
          <w:sz w:val="32"/>
          <w:szCs w:val="32"/>
        </w:rPr>
        <w:t>二级预算部门。</w:t>
      </w:r>
    </w:p>
    <w:p>
      <w:pPr>
        <w:pageBreakBefore w:val="0"/>
        <w:widowControl w:val="0"/>
        <w:kinsoku/>
        <w:wordWrap/>
        <w:overflowPunct/>
        <w:topLinePunct w:val="0"/>
        <w:autoSpaceDE/>
        <w:autoSpaceDN/>
        <w:bidi w:val="0"/>
        <w:adjustRightInd/>
        <w:snapToGrid/>
        <w:spacing w:line="576" w:lineRule="exact"/>
        <w:ind w:firstLine="630" w:firstLineChars="196"/>
        <w:textAlignment w:val="auto"/>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二、部门职责和机构设置</w:t>
      </w:r>
    </w:p>
    <w:p>
      <w:pPr>
        <w:pageBreakBefore w:val="0"/>
        <w:widowControl w:val="0"/>
        <w:kinsoku/>
        <w:wordWrap/>
        <w:overflowPunct/>
        <w:topLinePunct w:val="0"/>
        <w:autoSpaceDE/>
        <w:autoSpaceDN/>
        <w:bidi w:val="0"/>
        <w:adjustRightInd/>
        <w:snapToGrid/>
        <w:spacing w:line="576" w:lineRule="exact"/>
        <w:ind w:firstLine="630" w:firstLineChars="196"/>
        <w:textAlignment w:val="auto"/>
        <w:rPr>
          <w:rFonts w:hint="eastAsia" w:ascii="仿宋_GB2312" w:eastAsia="仿宋_GB2312"/>
          <w:b/>
          <w:bCs/>
          <w:sz w:val="32"/>
          <w:szCs w:val="32"/>
        </w:rPr>
      </w:pPr>
      <w:r>
        <w:rPr>
          <w:rFonts w:hint="eastAsia" w:ascii="仿宋_GB2312" w:eastAsia="仿宋_GB2312"/>
          <w:b/>
          <w:bCs/>
          <w:sz w:val="32"/>
          <w:szCs w:val="32"/>
        </w:rPr>
        <w:t>（一）部门职责。</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贯彻执行自治区发展和改革战略规划，拟订并组织实施市国民经济和社会发展战略、中长期规划和年度计划；研究分析市内外经济形势，提出市国民经济发展和优化重大经济结构的目标、政策，提出综合运用法律、经济、行政等手段的政策建议；受市人民政府委托向市人大提交国民经济和社会发展计划的报告。</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负责监测宏观经济和社会发展态势，承担预测和信息引导责任；负责研究宏观经济运行、总量平衡、结构优化、经济安全和产业安全等，协调解决经济运行中的重大问题，调节经济运行；负责组织重要物资的紧急调度和交通运输协调。</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负责汇总分析财政、金融等方面的情况，参与制定市财政政策、土地政策，拟订并组织实施价格政策；综合分析财政、金融、土地政策执行效果，监督检查价格政策的执行；负责组织制定和调整由市管理的重要商品价格和服务价格标准，依法查处价格违法行为等。</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4.研究经济体制改革和对外开放的重大问题，承担指导推进和综合协调经济体制改革的责任，组织拟订综合性经济体制改革方案，协调有关专项经济体制改革方案，会同有关部门做好重要专项经济体制改革之间的衔接，指导经济体制改革试点工作。</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5.承担规划重大项目和生产力布局的责任，拟订全市固定资产投资总规模和投资结构的调控目标、政策和建议；向国家、自治区申请和安排市级财政性建设资金，指导和监督贷款建设资金的总量使用情况，指导和监督政策性贷款的使用方向；按规定权限审批、核准重大建设项目、重大外资项目、重大社会投资项目等；引导民间资金投资方向，研究提出利用外资和境外投资的战略、总量平衡和结构优化的目标；安排国家、自治区和市财政性拨款的建设项目、重大外资项目、境外资源开发类和大额用汇投资项目；负责协调衔接对口援藏项目规划和年度计划衔接。</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6.研究提出经济结构战略性调整建议；组织拟订综合性产业政策，协调第一、二、三产业问题并衔接平衡相关问题，做好与国民经济和社会发展规划、计划的衔接平衡；协调农牧业和农牧区经济社会发展问题；会同有关部门拟订市服务业发展战略。</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7.协调实施和监测、评估西藏自治区主体功能区规划；组织协调相关部门实施区域协调发展和实施西部大开发战略规划和政策措施；提出城镇化发展政策和建议，促进区域经济协调发展。</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8.承担重要商品总量平衡和调控责任，编制重要农畜产品、工业品和原材料进出口计划并监督执行，根据经济运行情况对进出口总量计划进行调整，拟订本市重要战略物质储备，负责组织战略物资的收储、动用、轮换和管理，会同有关部门管理粮食、食糖等储备。</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9.负责全市国民经济发展和社会发展的政策衔接，统筹协调经济社会发展；组织拟订社会发展战略、总体规划和年度计划，参与拟订人口和嘉华生育、科学技术、教育、文化、卫生、民政等发展政策，提出促进就业、调整收入分配、完善社会保障与经济协调发展的政策建议，协调社会事业发展和改革中的重大问题及政策。</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10.拟订可持续发展战略，负责节能减排的综合协调工作，组织拟订发展循环经济、能源资源节约和综合利用规划及政策措施并协调实施；参与编制生态建设、环境保护等规划；协调生态建设、能源资源节约和综合利用问题，协调环保产业和清洁生产促进相关工作；组织拟订全市应对气候变化规划和政策，负责相关工作。</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11.负责能源的行业管理；按照权限提出能源发展政策；拟订并组织实施能源发展规划、产业政策，衔接能源生产和供需平衡，协调能源发展和改革问题；指导、协调农村能源发展工作；负责能源行业节能和资源综合利用，指导能源科技进步；承担全市能源预测预警工作。</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12.起草全市国民经济和社会发展、经济体制改革和对外开放的有关法规草案和规章草案。</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13.承办市人民政府交办的其他事项。</w:t>
      </w:r>
    </w:p>
    <w:p>
      <w:pPr>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（二）部门机构设置及人员编制情况</w:t>
      </w:r>
    </w:p>
    <w:p>
      <w:pPr>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1.市发改委下设1</w:t>
      </w:r>
      <w:r>
        <w:rPr>
          <w:rFonts w:hint="eastAsia" w:ascii="仿宋_GB2312" w:eastAsia="仿宋_GB2312"/>
          <w:sz w:val="32"/>
          <w:szCs w:val="32"/>
          <w:lang w:val="en-US" w:eastAsia="zh-CN"/>
        </w:rPr>
        <w:t>6</w:t>
      </w:r>
      <w:r>
        <w:rPr>
          <w:rFonts w:hint="eastAsia" w:ascii="仿宋_GB2312" w:eastAsia="仿宋_GB2312"/>
          <w:sz w:val="32"/>
          <w:szCs w:val="32"/>
        </w:rPr>
        <w:t>个科室：办公室、政工人事科、</w:t>
      </w:r>
      <w:r>
        <w:rPr>
          <w:rFonts w:hint="eastAsia" w:ascii="仿宋_GB2312" w:eastAsia="仿宋_GB2312"/>
          <w:sz w:val="32"/>
          <w:szCs w:val="32"/>
          <w:lang w:eastAsia="zh-CN"/>
        </w:rPr>
        <w:t>发展战略和规划科</w:t>
      </w:r>
      <w:r>
        <w:rPr>
          <w:rFonts w:hint="eastAsia" w:ascii="仿宋_GB2312" w:eastAsia="仿宋_GB2312"/>
          <w:sz w:val="32"/>
          <w:szCs w:val="32"/>
        </w:rPr>
        <w:t>、国民经济综合科、固定资产投资科、</w:t>
      </w:r>
      <w:r>
        <w:rPr>
          <w:rFonts w:hint="eastAsia" w:ascii="仿宋_GB2312" w:eastAsia="仿宋_GB2312"/>
          <w:sz w:val="32"/>
          <w:szCs w:val="32"/>
          <w:lang w:eastAsia="zh-CN"/>
        </w:rPr>
        <w:t>基础设施和产业发展科</w:t>
      </w:r>
      <w:r>
        <w:rPr>
          <w:rFonts w:hint="eastAsia" w:ascii="仿宋_GB2312" w:eastAsia="仿宋_GB2312"/>
          <w:sz w:val="32"/>
          <w:szCs w:val="32"/>
        </w:rPr>
        <w:t>、</w:t>
      </w:r>
      <w:r>
        <w:rPr>
          <w:rFonts w:hint="eastAsia" w:ascii="仿宋_GB2312" w:eastAsia="仿宋_GB2312"/>
          <w:sz w:val="32"/>
          <w:szCs w:val="32"/>
          <w:lang w:eastAsia="zh-CN"/>
        </w:rPr>
        <w:t>社会发展和就业收入分配科、</w:t>
      </w:r>
      <w:r>
        <w:rPr>
          <w:rFonts w:hint="eastAsia" w:ascii="仿宋_GB2312" w:eastAsia="仿宋_GB2312"/>
          <w:sz w:val="32"/>
          <w:szCs w:val="32"/>
        </w:rPr>
        <w:t>农村经济科、</w:t>
      </w:r>
      <w:r>
        <w:rPr>
          <w:rFonts w:hint="eastAsia" w:ascii="仿宋_GB2312" w:eastAsia="仿宋_GB2312"/>
          <w:sz w:val="32"/>
          <w:szCs w:val="32"/>
          <w:lang w:eastAsia="zh-CN"/>
        </w:rPr>
        <w:t>价格科</w:t>
      </w:r>
      <w:r>
        <w:rPr>
          <w:rFonts w:hint="eastAsia" w:ascii="仿宋_GB2312" w:eastAsia="仿宋_GB2312"/>
          <w:sz w:val="32"/>
          <w:szCs w:val="32"/>
        </w:rPr>
        <w:t>、</w:t>
      </w:r>
      <w:r>
        <w:rPr>
          <w:rFonts w:hint="eastAsia" w:ascii="仿宋_GB2312" w:eastAsia="仿宋_GB2312"/>
          <w:sz w:val="32"/>
          <w:szCs w:val="32"/>
          <w:lang w:eastAsia="zh-CN"/>
        </w:rPr>
        <w:t>经济贸易和消费科、拉林铁路和民航建设协调科、能源办、地区经济振兴科、粮食物资政策和应急保障科、粮食和物资储备科、招商引资科。</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2.人员编制情况</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rPr>
        <w:t>人员编制数</w:t>
      </w:r>
      <w:r>
        <w:rPr>
          <w:rFonts w:hint="eastAsia" w:ascii="仿宋_GB2312" w:eastAsia="仿宋_GB2312"/>
          <w:sz w:val="32"/>
          <w:szCs w:val="32"/>
          <w:lang w:val="en-US" w:eastAsia="zh-CN"/>
        </w:rPr>
        <w:t>62</w:t>
      </w:r>
      <w:r>
        <w:rPr>
          <w:rFonts w:hint="eastAsia" w:ascii="仿宋_GB2312" w:eastAsia="仿宋_GB2312"/>
          <w:sz w:val="32"/>
          <w:szCs w:val="32"/>
        </w:rPr>
        <w:t>人，其中：行政编制</w:t>
      </w:r>
      <w:r>
        <w:rPr>
          <w:rFonts w:hint="eastAsia" w:ascii="仿宋_GB2312" w:eastAsia="仿宋_GB2312"/>
          <w:sz w:val="32"/>
          <w:szCs w:val="32"/>
          <w:lang w:val="en-US" w:eastAsia="zh-CN"/>
        </w:rPr>
        <w:t>29</w:t>
      </w:r>
      <w:r>
        <w:rPr>
          <w:rFonts w:hint="eastAsia" w:ascii="仿宋_GB2312" w:eastAsia="仿宋_GB2312"/>
          <w:sz w:val="32"/>
          <w:szCs w:val="32"/>
        </w:rPr>
        <w:t>人，</w:t>
      </w:r>
      <w:r>
        <w:rPr>
          <w:rFonts w:hint="eastAsia" w:ascii="仿宋_GB2312" w:eastAsia="仿宋_GB2312"/>
          <w:sz w:val="32"/>
          <w:szCs w:val="32"/>
          <w:lang w:eastAsia="zh-CN"/>
        </w:rPr>
        <w:t>参公编制</w:t>
      </w:r>
      <w:r>
        <w:rPr>
          <w:rFonts w:hint="eastAsia" w:ascii="仿宋_GB2312" w:eastAsia="仿宋_GB2312"/>
          <w:sz w:val="32"/>
          <w:szCs w:val="32"/>
          <w:lang w:val="en-US" w:eastAsia="zh-CN"/>
        </w:rPr>
        <w:t>18人，</w:t>
      </w:r>
      <w:r>
        <w:rPr>
          <w:rFonts w:hint="eastAsia" w:ascii="仿宋_GB2312" w:eastAsia="仿宋_GB2312"/>
          <w:sz w:val="32"/>
          <w:szCs w:val="32"/>
        </w:rPr>
        <w:t>事业编制</w:t>
      </w:r>
      <w:r>
        <w:rPr>
          <w:rFonts w:hint="eastAsia" w:ascii="仿宋_GB2312" w:eastAsia="仿宋_GB2312"/>
          <w:sz w:val="32"/>
          <w:szCs w:val="32"/>
          <w:lang w:val="en-US" w:eastAsia="zh-CN"/>
        </w:rPr>
        <w:t>15</w:t>
      </w:r>
      <w:r>
        <w:rPr>
          <w:rFonts w:hint="eastAsia" w:ascii="仿宋_GB2312" w:eastAsia="仿宋_GB2312"/>
          <w:sz w:val="32"/>
          <w:szCs w:val="32"/>
        </w:rPr>
        <w:t>人。</w:t>
      </w:r>
      <w:r>
        <w:rPr>
          <w:rFonts w:hint="eastAsia" w:ascii="仿宋_GB2312" w:eastAsia="仿宋_GB2312"/>
          <w:sz w:val="32"/>
          <w:szCs w:val="32"/>
          <w:lang w:val="en-US" w:eastAsia="zh-CN"/>
        </w:rPr>
        <w:t>2022</w:t>
      </w:r>
      <w:r>
        <w:rPr>
          <w:rFonts w:hint="eastAsia" w:ascii="仿宋_GB2312" w:eastAsia="仿宋_GB2312"/>
          <w:sz w:val="32"/>
          <w:szCs w:val="32"/>
          <w:lang w:eastAsia="zh-CN"/>
        </w:rPr>
        <w:t>年</w:t>
      </w:r>
      <w:r>
        <w:rPr>
          <w:rFonts w:hint="eastAsia" w:ascii="仿宋_GB2312" w:eastAsia="仿宋_GB2312"/>
          <w:sz w:val="32"/>
          <w:szCs w:val="32"/>
        </w:rPr>
        <w:t>末实有</w:t>
      </w:r>
      <w:r>
        <w:rPr>
          <w:rFonts w:hint="eastAsia" w:ascii="仿宋_GB2312" w:eastAsia="仿宋_GB2312"/>
          <w:sz w:val="32"/>
          <w:szCs w:val="32"/>
          <w:lang w:eastAsia="zh-CN"/>
        </w:rPr>
        <w:t>在职</w:t>
      </w:r>
      <w:r>
        <w:rPr>
          <w:rFonts w:hint="eastAsia" w:ascii="仿宋_GB2312" w:eastAsia="仿宋_GB2312"/>
          <w:sz w:val="32"/>
          <w:szCs w:val="32"/>
        </w:rPr>
        <w:t>人数</w:t>
      </w:r>
      <w:r>
        <w:rPr>
          <w:rFonts w:hint="eastAsia" w:ascii="仿宋_GB2312" w:eastAsia="仿宋_GB2312"/>
          <w:sz w:val="32"/>
          <w:szCs w:val="32"/>
          <w:lang w:val="en-US" w:eastAsia="zh-CN"/>
        </w:rPr>
        <w:t>61</w:t>
      </w:r>
      <w:r>
        <w:rPr>
          <w:rFonts w:hint="eastAsia" w:ascii="仿宋_GB2312" w:eastAsia="仿宋_GB2312"/>
          <w:sz w:val="32"/>
          <w:szCs w:val="32"/>
        </w:rPr>
        <w:t>人</w:t>
      </w:r>
      <w:r>
        <w:rPr>
          <w:rFonts w:hint="eastAsia" w:ascii="仿宋_GB2312" w:eastAsia="仿宋_GB2312"/>
          <w:sz w:val="32"/>
          <w:szCs w:val="32"/>
          <w:lang w:eastAsia="zh-CN"/>
        </w:rPr>
        <w:t>。本</w:t>
      </w:r>
      <w:r>
        <w:rPr>
          <w:rFonts w:hint="eastAsia" w:ascii="仿宋_GB2312" w:eastAsia="仿宋_GB2312"/>
          <w:sz w:val="32"/>
          <w:szCs w:val="32"/>
          <w:lang w:val="en-US" w:eastAsia="zh-CN"/>
        </w:rPr>
        <w:t>年调入0人，退休1人，调出1人。</w:t>
      </w:r>
    </w:p>
    <w:p>
      <w:pPr>
        <w:pStyle w:val="2"/>
        <w:pageBreakBefore w:val="0"/>
        <w:widowControl w:val="0"/>
        <w:kinsoku/>
        <w:wordWrap/>
        <w:overflowPunct/>
        <w:topLinePunct w:val="0"/>
        <w:autoSpaceDE/>
        <w:autoSpaceDN/>
        <w:bidi w:val="0"/>
        <w:adjustRightInd/>
        <w:snapToGrid/>
        <w:spacing w:line="576" w:lineRule="exact"/>
        <w:textAlignment w:val="auto"/>
        <w:rPr>
          <w:rFonts w:hint="eastAsia" w:ascii="仿宋_GB2312" w:eastAsia="仿宋_GB2312"/>
          <w:sz w:val="32"/>
          <w:szCs w:val="32"/>
          <w:lang w:val="en-US" w:eastAsia="zh-CN"/>
        </w:rPr>
      </w:pPr>
    </w:p>
    <w:p>
      <w:pPr>
        <w:pStyle w:val="2"/>
        <w:pageBreakBefore w:val="0"/>
        <w:widowControl w:val="0"/>
        <w:kinsoku/>
        <w:wordWrap/>
        <w:overflowPunct/>
        <w:topLinePunct w:val="0"/>
        <w:autoSpaceDE/>
        <w:autoSpaceDN/>
        <w:bidi w:val="0"/>
        <w:adjustRightInd/>
        <w:snapToGrid/>
        <w:spacing w:line="576" w:lineRule="exact"/>
        <w:textAlignment w:val="auto"/>
        <w:rPr>
          <w:rFonts w:hint="eastAsia"/>
        </w:rPr>
      </w:pPr>
      <w:bookmarkStart w:id="0" w:name="_GoBack"/>
      <w:bookmarkEnd w:id="0"/>
    </w:p>
    <w:p>
      <w:pPr>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宋体" w:eastAsia="黑体"/>
          <w:sz w:val="32"/>
          <w:szCs w:val="32"/>
        </w:rPr>
      </w:pPr>
      <w:r>
        <w:rPr>
          <w:rFonts w:hint="eastAsia" w:ascii="黑体" w:hAnsi="宋体" w:eastAsia="黑体"/>
          <w:sz w:val="32"/>
          <w:szCs w:val="32"/>
        </w:rPr>
        <w:t>第二部分</w:t>
      </w:r>
    </w:p>
    <w:p>
      <w:pPr>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宋体" w:eastAsia="黑体"/>
          <w:sz w:val="32"/>
          <w:szCs w:val="32"/>
        </w:rPr>
      </w:pPr>
    </w:p>
    <w:p>
      <w:pPr>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林芝市发展和改革委员会</w:t>
      </w:r>
    </w:p>
    <w:p>
      <w:pPr>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2023年度预算明细表</w:t>
      </w:r>
    </w:p>
    <w:p>
      <w:pPr>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（表格详见附件）</w:t>
      </w:r>
    </w:p>
    <w:p>
      <w:pPr>
        <w:pageBreakBefore w:val="0"/>
        <w:widowControl w:val="0"/>
        <w:kinsoku/>
        <w:wordWrap/>
        <w:overflowPunct/>
        <w:topLinePunct w:val="0"/>
        <w:autoSpaceDE/>
        <w:autoSpaceDN/>
        <w:bidi w:val="0"/>
        <w:adjustRightInd/>
        <w:snapToGrid/>
        <w:spacing w:line="576" w:lineRule="exact"/>
        <w:jc w:val="both"/>
        <w:textAlignment w:val="auto"/>
        <w:rPr>
          <w:rFonts w:hint="eastAsia" w:ascii="黑体" w:eastAsia="黑体"/>
          <w:sz w:val="32"/>
          <w:szCs w:val="32"/>
        </w:rPr>
      </w:pPr>
    </w:p>
    <w:p>
      <w:pPr>
        <w:pageBreakBefore w:val="0"/>
        <w:widowControl w:val="0"/>
        <w:kinsoku/>
        <w:wordWrap/>
        <w:overflowPunct/>
        <w:topLinePunct w:val="0"/>
        <w:autoSpaceDE/>
        <w:autoSpaceDN/>
        <w:bidi w:val="0"/>
        <w:adjustRightInd/>
        <w:snapToGrid/>
        <w:spacing w:line="576" w:lineRule="exact"/>
        <w:jc w:val="center"/>
        <w:textAlignment w:val="auto"/>
        <w:rPr>
          <w:rFonts w:hint="eastAsia" w:ascii="黑体" w:eastAsia="黑体"/>
          <w:sz w:val="32"/>
          <w:szCs w:val="32"/>
        </w:rPr>
      </w:pPr>
    </w:p>
    <w:p>
      <w:pPr>
        <w:pageBreakBefore w:val="0"/>
        <w:widowControl w:val="0"/>
        <w:kinsoku/>
        <w:wordWrap/>
        <w:overflowPunct/>
        <w:topLinePunct w:val="0"/>
        <w:autoSpaceDE/>
        <w:autoSpaceDN/>
        <w:bidi w:val="0"/>
        <w:adjustRightInd/>
        <w:snapToGrid/>
        <w:spacing w:line="576" w:lineRule="exact"/>
        <w:textAlignment w:val="auto"/>
        <w:rPr>
          <w:rFonts w:hint="eastAsia" w:ascii="黑体" w:hAnsi="宋体" w:eastAsia="黑体"/>
          <w:sz w:val="48"/>
          <w:szCs w:val="48"/>
        </w:rPr>
      </w:pPr>
    </w:p>
    <w:p>
      <w:pPr>
        <w:pStyle w:val="2"/>
        <w:pageBreakBefore w:val="0"/>
        <w:widowControl w:val="0"/>
        <w:kinsoku/>
        <w:wordWrap/>
        <w:overflowPunct/>
        <w:topLinePunct w:val="0"/>
        <w:autoSpaceDE/>
        <w:autoSpaceDN/>
        <w:bidi w:val="0"/>
        <w:adjustRightInd/>
        <w:snapToGrid/>
        <w:spacing w:line="576" w:lineRule="exact"/>
        <w:textAlignment w:val="auto"/>
        <w:rPr>
          <w:rFonts w:hint="eastAsia"/>
        </w:rPr>
      </w:pPr>
    </w:p>
    <w:p>
      <w:pPr>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宋体" w:eastAsia="黑体"/>
          <w:sz w:val="48"/>
          <w:szCs w:val="48"/>
        </w:rPr>
      </w:pPr>
    </w:p>
    <w:p>
      <w:pPr>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第三部分</w:t>
      </w:r>
    </w:p>
    <w:p>
      <w:pPr>
        <w:pStyle w:val="2"/>
        <w:pageBreakBefore w:val="0"/>
        <w:widowControl w:val="0"/>
        <w:kinsoku/>
        <w:wordWrap/>
        <w:overflowPunct/>
        <w:topLinePunct w:val="0"/>
        <w:autoSpaceDE/>
        <w:autoSpaceDN/>
        <w:bidi w:val="0"/>
        <w:adjustRightInd/>
        <w:snapToGrid/>
        <w:spacing w:line="576" w:lineRule="exact"/>
        <w:textAlignment w:val="auto"/>
        <w:rPr>
          <w:rFonts w:hint="eastAsia"/>
          <w:lang w:val="en-US" w:eastAsia="zh-CN"/>
        </w:rPr>
      </w:pPr>
    </w:p>
    <w:p>
      <w:pPr>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林芝市发展和改革委员会</w:t>
      </w:r>
    </w:p>
    <w:p>
      <w:pPr>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2023年度部门预算数据分析</w:t>
      </w:r>
    </w:p>
    <w:p>
      <w:pPr>
        <w:pStyle w:val="2"/>
        <w:pageBreakBefore w:val="0"/>
        <w:widowControl w:val="0"/>
        <w:kinsoku/>
        <w:wordWrap/>
        <w:overflowPunct/>
        <w:topLinePunct w:val="0"/>
        <w:autoSpaceDE/>
        <w:autoSpaceDN/>
        <w:bidi w:val="0"/>
        <w:adjustRightInd/>
        <w:snapToGrid/>
        <w:spacing w:line="576" w:lineRule="exact"/>
        <w:textAlignment w:val="auto"/>
        <w:rPr>
          <w:rFonts w:hint="eastAsia"/>
          <w:lang w:val="en-US" w:eastAsia="zh-CN"/>
        </w:rPr>
      </w:pPr>
    </w:p>
    <w:p>
      <w:pPr>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黑体" w:hAnsi="宋体" w:eastAsia="黑体"/>
          <w:sz w:val="32"/>
          <w:szCs w:val="32"/>
        </w:rPr>
      </w:pPr>
      <w:r>
        <w:rPr>
          <w:rFonts w:hint="eastAsia" w:ascii="楷体_GB2312" w:hAnsi="楷体_GB2312" w:eastAsia="楷体_GB2312" w:cs="楷体_GB2312"/>
          <w:b/>
          <w:bCs/>
          <w:sz w:val="32"/>
          <w:szCs w:val="32"/>
        </w:rPr>
        <w:t>一、20</w:t>
      </w:r>
      <w:r>
        <w:rPr>
          <w:rFonts w:hint="eastAsia" w:ascii="楷体_GB2312" w:hAnsi="楷体_GB2312" w:eastAsia="楷体_GB2312" w:cs="楷体_GB2312"/>
          <w:b/>
          <w:bCs/>
          <w:sz w:val="32"/>
          <w:szCs w:val="32"/>
          <w:lang w:val="en-US" w:eastAsia="zh-CN"/>
        </w:rPr>
        <w:t>23</w:t>
      </w:r>
      <w:r>
        <w:rPr>
          <w:rFonts w:hint="eastAsia" w:ascii="楷体_GB2312" w:hAnsi="楷体_GB2312" w:eastAsia="楷体_GB2312" w:cs="楷体_GB2312"/>
          <w:b/>
          <w:bCs/>
          <w:sz w:val="32"/>
          <w:szCs w:val="32"/>
        </w:rPr>
        <w:t>年度财政拨款收支预算情况总体说明</w:t>
      </w:r>
    </w:p>
    <w:p>
      <w:pPr>
        <w:pageBreakBefore w:val="0"/>
        <w:widowControl w:val="0"/>
        <w:kinsoku/>
        <w:wordWrap/>
        <w:overflowPunct/>
        <w:topLinePunct w:val="0"/>
        <w:autoSpaceDE/>
        <w:autoSpaceDN/>
        <w:bidi w:val="0"/>
        <w:adjustRightInd/>
        <w:snapToGrid/>
        <w:spacing w:line="576" w:lineRule="exact"/>
        <w:ind w:firstLine="627" w:firstLineChars="196"/>
        <w:textAlignment w:val="auto"/>
        <w:rPr>
          <w:rFonts w:hint="eastAsia" w:ascii="仿宋" w:hAnsi="仿宋" w:eastAsia="仿宋"/>
          <w:sz w:val="32"/>
          <w:szCs w:val="32"/>
        </w:rPr>
      </w:pPr>
      <w:r>
        <w:rPr>
          <w:rFonts w:hint="eastAsia" w:ascii="仿宋" w:hAnsi="仿宋" w:eastAsia="仿宋"/>
          <w:sz w:val="32"/>
          <w:szCs w:val="32"/>
        </w:rPr>
        <w:t>根据《中华人民共和国预算法》有关规定，按照部门预算改革和政府收支分类改革的总体要求，本着实事求是，科学准确，统筹兼顾的原则，制定了林芝市发改委（粮食局）20</w:t>
      </w:r>
      <w:r>
        <w:rPr>
          <w:rFonts w:hint="eastAsia" w:ascii="仿宋" w:hAnsi="仿宋" w:eastAsia="仿宋"/>
          <w:sz w:val="32"/>
          <w:szCs w:val="32"/>
          <w:lang w:val="en-US" w:eastAsia="zh-CN"/>
        </w:rPr>
        <w:t>23</w:t>
      </w:r>
      <w:r>
        <w:rPr>
          <w:rFonts w:hint="eastAsia" w:ascii="仿宋" w:hAnsi="仿宋" w:eastAsia="仿宋"/>
          <w:sz w:val="32"/>
          <w:szCs w:val="32"/>
        </w:rPr>
        <w:t>年度预算。20</w:t>
      </w:r>
      <w:r>
        <w:rPr>
          <w:rFonts w:hint="eastAsia" w:ascii="仿宋" w:hAnsi="仿宋" w:eastAsia="仿宋"/>
          <w:sz w:val="32"/>
          <w:szCs w:val="32"/>
          <w:lang w:val="en-US" w:eastAsia="zh-CN"/>
        </w:rPr>
        <w:t>23</w:t>
      </w:r>
      <w:r>
        <w:rPr>
          <w:rFonts w:hint="eastAsia" w:ascii="仿宋" w:hAnsi="仿宋" w:eastAsia="仿宋"/>
          <w:sz w:val="32"/>
          <w:szCs w:val="32"/>
        </w:rPr>
        <w:t>年预算财政拨款收入</w:t>
      </w:r>
      <w:r>
        <w:rPr>
          <w:rFonts w:hint="eastAsia" w:ascii="仿宋" w:hAnsi="仿宋" w:eastAsia="仿宋"/>
          <w:sz w:val="32"/>
          <w:szCs w:val="32"/>
          <w:lang w:val="en-US" w:eastAsia="zh-CN"/>
        </w:rPr>
        <w:t>2868.1</w:t>
      </w:r>
      <w:r>
        <w:rPr>
          <w:rFonts w:hint="eastAsia" w:ascii="仿宋" w:hAnsi="仿宋" w:eastAsia="仿宋"/>
          <w:sz w:val="32"/>
          <w:szCs w:val="32"/>
        </w:rPr>
        <w:t>万元，财政拨款支出</w:t>
      </w:r>
      <w:r>
        <w:rPr>
          <w:rFonts w:hint="eastAsia" w:ascii="仿宋" w:hAnsi="仿宋" w:eastAsia="仿宋"/>
          <w:sz w:val="32"/>
          <w:szCs w:val="32"/>
          <w:lang w:val="en-US" w:eastAsia="zh-CN"/>
        </w:rPr>
        <w:t>2868.1</w:t>
      </w:r>
      <w:r>
        <w:rPr>
          <w:rFonts w:hint="eastAsia" w:ascii="仿宋" w:hAnsi="仿宋" w:eastAsia="仿宋"/>
          <w:sz w:val="32"/>
          <w:szCs w:val="32"/>
        </w:rPr>
        <w:t>万元。</w:t>
      </w:r>
    </w:p>
    <w:p>
      <w:pPr>
        <w:pStyle w:val="2"/>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二、2023年</w:t>
      </w:r>
      <w:r>
        <w:rPr>
          <w:rFonts w:hint="eastAsia" w:ascii="楷体_GB2312" w:hAnsi="楷体_GB2312" w:eastAsia="楷体_GB2312" w:cs="楷体_GB2312"/>
          <w:b/>
          <w:bCs/>
          <w:kern w:val="2"/>
          <w:sz w:val="32"/>
          <w:szCs w:val="32"/>
          <w:lang w:val="en-US" w:eastAsia="zh-CN" w:bidi="ar-SA"/>
        </w:rPr>
        <w:t>度一般公共预算当年财政拨款情况说明</w:t>
      </w:r>
    </w:p>
    <w:p>
      <w:pPr>
        <w:pageBreakBefore w:val="0"/>
        <w:widowControl w:val="0"/>
        <w:kinsoku/>
        <w:wordWrap/>
        <w:overflowPunct/>
        <w:topLinePunct w:val="0"/>
        <w:autoSpaceDE/>
        <w:autoSpaceDN/>
        <w:bidi w:val="0"/>
        <w:adjustRightInd/>
        <w:snapToGrid/>
        <w:spacing w:line="576" w:lineRule="exact"/>
        <w:ind w:firstLine="630" w:firstLineChars="196"/>
        <w:textAlignment w:val="auto"/>
        <w:rPr>
          <w:rFonts w:hint="eastAsia" w:ascii="仿宋_GB2312" w:hAnsi="宋体" w:eastAsia="仿宋_GB2312" w:cs="宋体"/>
          <w:b/>
          <w:bCs/>
          <w:sz w:val="32"/>
          <w:szCs w:val="32"/>
        </w:rPr>
      </w:pPr>
      <w:r>
        <w:rPr>
          <w:rFonts w:hint="eastAsia" w:ascii="仿宋_GB2312" w:hAnsi="宋体" w:eastAsia="仿宋_GB2312" w:cs="宋体"/>
          <w:b/>
          <w:bCs/>
          <w:sz w:val="32"/>
          <w:szCs w:val="32"/>
        </w:rPr>
        <w:t>（一）一般公共预算当年财政拨款规模变化情况，与上年预算数同口径比较</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宋体"/>
          <w:sz w:val="32"/>
          <w:szCs w:val="32"/>
          <w:lang w:eastAsia="zh-CN"/>
        </w:rPr>
      </w:pPr>
      <w:r>
        <w:rPr>
          <w:rFonts w:hint="eastAsia" w:ascii="仿宋" w:hAnsi="仿宋" w:eastAsia="仿宋" w:cs="宋体"/>
          <w:sz w:val="32"/>
          <w:szCs w:val="32"/>
        </w:rPr>
        <w:t>20</w:t>
      </w:r>
      <w:r>
        <w:rPr>
          <w:rFonts w:hint="eastAsia" w:ascii="仿宋" w:hAnsi="仿宋" w:eastAsia="仿宋" w:cs="宋体"/>
          <w:sz w:val="32"/>
          <w:szCs w:val="32"/>
          <w:lang w:val="en-US" w:eastAsia="zh-CN"/>
        </w:rPr>
        <w:t>22</w:t>
      </w:r>
      <w:r>
        <w:rPr>
          <w:rFonts w:hint="eastAsia" w:ascii="仿宋" w:hAnsi="仿宋" w:eastAsia="仿宋" w:cs="宋体"/>
          <w:sz w:val="32"/>
          <w:szCs w:val="32"/>
        </w:rPr>
        <w:t>年一般公共预算</w:t>
      </w:r>
      <w:r>
        <w:rPr>
          <w:rFonts w:hint="eastAsia" w:ascii="仿宋" w:hAnsi="仿宋" w:eastAsia="仿宋" w:cs="宋体"/>
          <w:sz w:val="32"/>
          <w:szCs w:val="32"/>
          <w:lang w:val="en-US" w:eastAsia="zh-CN"/>
        </w:rPr>
        <w:t>3020.85</w:t>
      </w:r>
      <w:r>
        <w:rPr>
          <w:rFonts w:hint="eastAsia" w:ascii="仿宋" w:hAnsi="仿宋" w:eastAsia="仿宋" w:cs="宋体"/>
          <w:sz w:val="32"/>
          <w:szCs w:val="32"/>
        </w:rPr>
        <w:t>万元，20</w:t>
      </w:r>
      <w:r>
        <w:rPr>
          <w:rFonts w:hint="eastAsia" w:ascii="仿宋" w:hAnsi="仿宋" w:eastAsia="仿宋" w:cs="宋体"/>
          <w:sz w:val="32"/>
          <w:szCs w:val="32"/>
          <w:lang w:val="en-US" w:eastAsia="zh-CN"/>
        </w:rPr>
        <w:t>23</w:t>
      </w:r>
      <w:r>
        <w:rPr>
          <w:rFonts w:hint="eastAsia" w:ascii="仿宋" w:hAnsi="仿宋" w:eastAsia="仿宋" w:cs="宋体"/>
          <w:sz w:val="32"/>
          <w:szCs w:val="32"/>
        </w:rPr>
        <w:t>年一般公共预算</w:t>
      </w:r>
      <w:r>
        <w:rPr>
          <w:rFonts w:hint="eastAsia" w:ascii="仿宋" w:hAnsi="仿宋" w:eastAsia="仿宋" w:cs="宋体"/>
          <w:sz w:val="32"/>
          <w:szCs w:val="32"/>
          <w:lang w:val="en-US" w:eastAsia="zh-CN"/>
        </w:rPr>
        <w:t>2868.1</w:t>
      </w:r>
      <w:r>
        <w:rPr>
          <w:rFonts w:hint="eastAsia" w:ascii="仿宋" w:hAnsi="仿宋" w:eastAsia="仿宋" w:cs="宋体"/>
          <w:sz w:val="32"/>
          <w:szCs w:val="32"/>
        </w:rPr>
        <w:t>万元，比</w:t>
      </w:r>
      <w:r>
        <w:rPr>
          <w:rFonts w:hint="eastAsia" w:ascii="仿宋" w:hAnsi="仿宋" w:eastAsia="仿宋" w:cs="宋体"/>
          <w:sz w:val="32"/>
          <w:szCs w:val="32"/>
          <w:lang w:val="en-US" w:eastAsia="zh-CN"/>
        </w:rPr>
        <w:t>2022</w:t>
      </w:r>
      <w:r>
        <w:rPr>
          <w:rFonts w:hint="eastAsia" w:ascii="仿宋" w:hAnsi="仿宋" w:eastAsia="仿宋" w:cs="宋体"/>
          <w:sz w:val="32"/>
          <w:szCs w:val="32"/>
        </w:rPr>
        <w:t>年</w:t>
      </w:r>
      <w:r>
        <w:rPr>
          <w:rFonts w:hint="eastAsia" w:ascii="仿宋" w:hAnsi="仿宋" w:eastAsia="仿宋" w:cs="宋体"/>
          <w:sz w:val="32"/>
          <w:szCs w:val="32"/>
          <w:lang w:eastAsia="zh-CN"/>
        </w:rPr>
        <w:t>减少</w:t>
      </w:r>
      <w:r>
        <w:rPr>
          <w:rFonts w:hint="eastAsia" w:ascii="仿宋" w:hAnsi="仿宋" w:eastAsia="仿宋" w:cs="宋体"/>
          <w:sz w:val="32"/>
          <w:szCs w:val="32"/>
          <w:lang w:val="en-US" w:eastAsia="zh-CN"/>
        </w:rPr>
        <w:t>5</w:t>
      </w:r>
      <w:r>
        <w:rPr>
          <w:rFonts w:hint="eastAsia" w:ascii="仿宋" w:hAnsi="仿宋" w:eastAsia="仿宋" w:cs="宋体"/>
          <w:sz w:val="32"/>
          <w:szCs w:val="32"/>
        </w:rPr>
        <w:t>%</w:t>
      </w:r>
      <w:r>
        <w:rPr>
          <w:rFonts w:hint="eastAsia" w:ascii="仿宋" w:hAnsi="仿宋" w:eastAsia="仿宋" w:cs="宋体"/>
          <w:sz w:val="32"/>
          <w:szCs w:val="32"/>
          <w:lang w:eastAsia="zh-CN"/>
        </w:rPr>
        <w:t>，主要原因是</w:t>
      </w:r>
      <w:r>
        <w:rPr>
          <w:rFonts w:hint="eastAsia" w:ascii="仿宋" w:hAnsi="仿宋" w:eastAsia="仿宋" w:cs="宋体"/>
          <w:sz w:val="32"/>
          <w:szCs w:val="32"/>
          <w:lang w:val="en-US" w:eastAsia="zh-CN"/>
        </w:rPr>
        <w:t>项目工作经费有所</w:t>
      </w:r>
      <w:r>
        <w:rPr>
          <w:rFonts w:hint="eastAsia" w:ascii="仿宋" w:hAnsi="仿宋" w:eastAsia="仿宋" w:cs="宋体"/>
          <w:sz w:val="32"/>
          <w:szCs w:val="32"/>
          <w:lang w:eastAsia="zh-CN"/>
        </w:rPr>
        <w:t>增加。</w:t>
      </w:r>
    </w:p>
    <w:p>
      <w:pPr>
        <w:pageBreakBefore w:val="0"/>
        <w:widowControl w:val="0"/>
        <w:kinsoku/>
        <w:wordWrap/>
        <w:overflowPunct/>
        <w:topLinePunct w:val="0"/>
        <w:autoSpaceDE/>
        <w:autoSpaceDN/>
        <w:bidi w:val="0"/>
        <w:adjustRightInd/>
        <w:snapToGrid/>
        <w:spacing w:line="576" w:lineRule="exact"/>
        <w:ind w:firstLine="630" w:firstLineChars="196"/>
        <w:textAlignment w:val="auto"/>
        <w:rPr>
          <w:rFonts w:hint="eastAsia" w:ascii="仿宋_GB2312" w:hAnsi="宋体" w:eastAsia="仿宋_GB2312" w:cs="宋体"/>
          <w:b/>
          <w:bCs/>
          <w:sz w:val="32"/>
          <w:szCs w:val="32"/>
        </w:rPr>
      </w:pPr>
      <w:r>
        <w:rPr>
          <w:rFonts w:hint="eastAsia" w:ascii="仿宋_GB2312" w:hAnsi="宋体" w:eastAsia="仿宋_GB2312" w:cs="宋体"/>
          <w:b/>
          <w:bCs/>
          <w:sz w:val="32"/>
          <w:szCs w:val="32"/>
        </w:rPr>
        <w:t>（二）一般公共预算当年财政拨款结构情况，分大类说明金额及占比</w:t>
      </w:r>
    </w:p>
    <w:p>
      <w:pPr>
        <w:pageBreakBefore w:val="0"/>
        <w:widowControl w:val="0"/>
        <w:kinsoku/>
        <w:wordWrap/>
        <w:overflowPunct/>
        <w:topLinePunct w:val="0"/>
        <w:autoSpaceDE/>
        <w:autoSpaceDN/>
        <w:bidi w:val="0"/>
        <w:adjustRightInd/>
        <w:snapToGrid/>
        <w:spacing w:line="576" w:lineRule="exact"/>
        <w:ind w:firstLine="627" w:firstLineChars="196"/>
        <w:textAlignment w:val="auto"/>
        <w:rPr>
          <w:rFonts w:hint="eastAsia" w:ascii="黑体" w:hAnsi="宋体" w:eastAsia="黑体"/>
          <w:sz w:val="32"/>
          <w:szCs w:val="32"/>
        </w:rPr>
      </w:pPr>
      <w:r>
        <w:rPr>
          <w:rFonts w:hint="eastAsia" w:ascii="仿宋" w:hAnsi="仿宋" w:eastAsia="仿宋" w:cs="宋体"/>
          <w:sz w:val="32"/>
          <w:szCs w:val="32"/>
        </w:rPr>
        <w:t>20</w:t>
      </w:r>
      <w:r>
        <w:rPr>
          <w:rFonts w:hint="eastAsia" w:ascii="仿宋" w:hAnsi="仿宋" w:eastAsia="仿宋" w:cs="宋体"/>
          <w:sz w:val="32"/>
          <w:szCs w:val="32"/>
          <w:lang w:val="en-US" w:eastAsia="zh-CN"/>
        </w:rPr>
        <w:t>23</w:t>
      </w:r>
      <w:r>
        <w:rPr>
          <w:rFonts w:hint="eastAsia" w:ascii="仿宋" w:hAnsi="仿宋" w:eastAsia="仿宋" w:cs="宋体"/>
          <w:sz w:val="32"/>
          <w:szCs w:val="32"/>
        </w:rPr>
        <w:t>年一般公共预算财政拨款</w:t>
      </w:r>
      <w:r>
        <w:rPr>
          <w:rFonts w:hint="eastAsia" w:ascii="仿宋" w:hAnsi="仿宋" w:eastAsia="仿宋" w:cs="宋体"/>
          <w:sz w:val="32"/>
          <w:szCs w:val="32"/>
          <w:lang w:val="en-US" w:eastAsia="zh-CN"/>
        </w:rPr>
        <w:t>2868.1</w:t>
      </w:r>
      <w:r>
        <w:rPr>
          <w:rFonts w:hint="eastAsia" w:ascii="仿宋" w:hAnsi="仿宋" w:eastAsia="仿宋" w:cs="宋体"/>
          <w:sz w:val="32"/>
          <w:szCs w:val="32"/>
        </w:rPr>
        <w:t>万元，其中：一般公共预算基本支出</w:t>
      </w:r>
      <w:r>
        <w:rPr>
          <w:rFonts w:hint="eastAsia" w:ascii="仿宋" w:hAnsi="仿宋" w:eastAsia="仿宋" w:cs="宋体"/>
          <w:sz w:val="32"/>
          <w:szCs w:val="32"/>
          <w:lang w:val="en-US" w:eastAsia="zh-CN"/>
        </w:rPr>
        <w:t>1443.4</w:t>
      </w:r>
      <w:r>
        <w:rPr>
          <w:rFonts w:hint="eastAsia" w:ascii="仿宋" w:hAnsi="仿宋" w:eastAsia="仿宋" w:cs="宋体"/>
          <w:sz w:val="32"/>
          <w:szCs w:val="32"/>
        </w:rPr>
        <w:t>万元，项目支出</w:t>
      </w:r>
      <w:r>
        <w:rPr>
          <w:rFonts w:hint="eastAsia" w:ascii="仿宋" w:hAnsi="仿宋" w:eastAsia="仿宋" w:cs="宋体"/>
          <w:sz w:val="32"/>
          <w:szCs w:val="32"/>
          <w:lang w:val="en-US" w:eastAsia="zh-CN"/>
        </w:rPr>
        <w:t>1000.45</w:t>
      </w:r>
      <w:r>
        <w:rPr>
          <w:rFonts w:hint="eastAsia" w:ascii="仿宋" w:hAnsi="仿宋" w:eastAsia="仿宋" w:cs="宋体"/>
          <w:sz w:val="32"/>
          <w:szCs w:val="32"/>
        </w:rPr>
        <w:t>万元。</w:t>
      </w:r>
    </w:p>
    <w:p>
      <w:pPr>
        <w:pageBreakBefore w:val="0"/>
        <w:widowControl w:val="0"/>
        <w:kinsoku/>
        <w:wordWrap/>
        <w:overflowPunct/>
        <w:topLinePunct w:val="0"/>
        <w:autoSpaceDE/>
        <w:autoSpaceDN/>
        <w:bidi w:val="0"/>
        <w:adjustRightInd/>
        <w:snapToGrid/>
        <w:spacing w:line="576" w:lineRule="exact"/>
        <w:ind w:firstLine="630" w:firstLineChars="196"/>
        <w:textAlignment w:val="auto"/>
        <w:rPr>
          <w:rFonts w:hint="eastAsia" w:ascii="仿宋_GB2312" w:hAnsi="宋体" w:eastAsia="仿宋_GB2312" w:cs="宋体"/>
          <w:b/>
          <w:bCs/>
          <w:sz w:val="32"/>
          <w:szCs w:val="32"/>
        </w:rPr>
      </w:pPr>
      <w:r>
        <w:rPr>
          <w:rFonts w:hint="eastAsia" w:ascii="仿宋_GB2312" w:hAnsi="宋体" w:eastAsia="仿宋_GB2312" w:cs="宋体"/>
          <w:b/>
          <w:bCs/>
          <w:sz w:val="32"/>
          <w:szCs w:val="32"/>
        </w:rPr>
        <w:t>（三）一般公共预算当年财政拨款具体使用情况</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宋体"/>
          <w:sz w:val="32"/>
          <w:szCs w:val="32"/>
        </w:rPr>
      </w:pPr>
      <w:r>
        <w:rPr>
          <w:rFonts w:hint="eastAsia" w:ascii="仿宋" w:hAnsi="仿宋" w:eastAsia="仿宋" w:cs="宋体"/>
          <w:sz w:val="32"/>
          <w:szCs w:val="32"/>
        </w:rPr>
        <w:t>1、一般公共服务（类）发展与改革（款）行政运行（项）</w:t>
      </w:r>
      <w:r>
        <w:rPr>
          <w:rFonts w:hint="eastAsia" w:ascii="仿宋" w:hAnsi="仿宋" w:eastAsia="仿宋" w:cs="宋体"/>
          <w:sz w:val="32"/>
          <w:szCs w:val="32"/>
          <w:lang w:val="en-US" w:eastAsia="zh-CN"/>
        </w:rPr>
        <w:t>1443.4</w:t>
      </w:r>
      <w:r>
        <w:rPr>
          <w:rFonts w:hint="eastAsia" w:ascii="仿宋" w:hAnsi="仿宋" w:eastAsia="仿宋" w:cs="宋体"/>
          <w:sz w:val="32"/>
          <w:szCs w:val="32"/>
        </w:rPr>
        <w:t>万元。</w:t>
      </w:r>
    </w:p>
    <w:p>
      <w:pPr>
        <w:pageBreakBefore w:val="0"/>
        <w:widowControl w:val="0"/>
        <w:kinsoku/>
        <w:wordWrap/>
        <w:overflowPunct/>
        <w:topLinePunct w:val="0"/>
        <w:autoSpaceDE/>
        <w:autoSpaceDN/>
        <w:bidi w:val="0"/>
        <w:adjustRightInd/>
        <w:snapToGrid/>
        <w:spacing w:line="576" w:lineRule="exact"/>
        <w:ind w:firstLine="627" w:firstLineChars="196"/>
        <w:textAlignment w:val="auto"/>
        <w:rPr>
          <w:rFonts w:hint="eastAsia" w:ascii="仿宋" w:hAnsi="仿宋" w:eastAsia="仿宋" w:cs="宋体"/>
          <w:sz w:val="32"/>
          <w:szCs w:val="32"/>
        </w:rPr>
      </w:pPr>
      <w:r>
        <w:rPr>
          <w:rFonts w:hint="eastAsia" w:ascii="仿宋" w:hAnsi="仿宋" w:eastAsia="仿宋" w:cs="宋体"/>
          <w:sz w:val="32"/>
          <w:szCs w:val="32"/>
          <w:lang w:val="en-US" w:eastAsia="zh-CN"/>
        </w:rPr>
        <w:t>2、</w:t>
      </w:r>
      <w:r>
        <w:rPr>
          <w:rFonts w:hint="eastAsia" w:ascii="仿宋" w:hAnsi="仿宋" w:eastAsia="仿宋" w:cs="宋体"/>
          <w:sz w:val="32"/>
          <w:szCs w:val="32"/>
        </w:rPr>
        <w:t>一般公共服务（类）发展与改革（款）机关服务（项）</w:t>
      </w:r>
      <w:r>
        <w:rPr>
          <w:rFonts w:hint="eastAsia" w:ascii="仿宋" w:hAnsi="仿宋" w:eastAsia="仿宋" w:cs="宋体"/>
          <w:sz w:val="32"/>
          <w:szCs w:val="32"/>
          <w:lang w:val="en-US" w:eastAsia="zh-CN"/>
        </w:rPr>
        <w:t>21</w:t>
      </w:r>
      <w:r>
        <w:rPr>
          <w:rFonts w:hint="eastAsia" w:ascii="仿宋" w:hAnsi="仿宋" w:eastAsia="仿宋" w:cs="宋体"/>
          <w:sz w:val="32"/>
          <w:szCs w:val="32"/>
        </w:rPr>
        <w:t>万元。</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宋体"/>
          <w:sz w:val="32"/>
          <w:szCs w:val="32"/>
        </w:rPr>
      </w:pPr>
      <w:r>
        <w:rPr>
          <w:rFonts w:hint="eastAsia" w:ascii="仿宋" w:hAnsi="仿宋" w:eastAsia="仿宋" w:cs="宋体"/>
          <w:sz w:val="32"/>
          <w:szCs w:val="32"/>
          <w:lang w:val="en-US" w:eastAsia="zh-CN"/>
        </w:rPr>
        <w:t>3</w:t>
      </w:r>
      <w:r>
        <w:rPr>
          <w:rFonts w:hint="eastAsia" w:ascii="仿宋" w:hAnsi="仿宋" w:eastAsia="仿宋" w:cs="宋体"/>
          <w:sz w:val="32"/>
          <w:szCs w:val="32"/>
        </w:rPr>
        <w:t>、一般公共服务（类）发展与改革（款）发展规划与实施（项）1</w:t>
      </w:r>
      <w:r>
        <w:rPr>
          <w:rFonts w:hint="eastAsia" w:ascii="仿宋" w:hAnsi="仿宋" w:eastAsia="仿宋" w:cs="宋体"/>
          <w:sz w:val="32"/>
          <w:szCs w:val="32"/>
          <w:lang w:val="en-US" w:eastAsia="zh-CN"/>
        </w:rPr>
        <w:t>2</w:t>
      </w:r>
      <w:r>
        <w:rPr>
          <w:rFonts w:hint="eastAsia" w:ascii="仿宋" w:hAnsi="仿宋" w:eastAsia="仿宋" w:cs="宋体"/>
          <w:sz w:val="32"/>
          <w:szCs w:val="32"/>
        </w:rPr>
        <w:t>0万元。</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宋体"/>
          <w:sz w:val="32"/>
          <w:szCs w:val="32"/>
        </w:rPr>
      </w:pPr>
      <w:r>
        <w:rPr>
          <w:rFonts w:hint="eastAsia" w:ascii="仿宋" w:hAnsi="仿宋" w:eastAsia="仿宋" w:cs="宋体"/>
          <w:sz w:val="32"/>
          <w:szCs w:val="32"/>
          <w:lang w:val="en-US" w:eastAsia="zh-CN"/>
        </w:rPr>
        <w:t>4、</w:t>
      </w:r>
      <w:r>
        <w:rPr>
          <w:rFonts w:hint="eastAsia" w:ascii="仿宋" w:hAnsi="仿宋" w:eastAsia="仿宋" w:cs="宋体"/>
          <w:sz w:val="32"/>
          <w:szCs w:val="32"/>
        </w:rPr>
        <w:t>一般公共服务（类）发展与改革（款）</w:t>
      </w:r>
      <w:r>
        <w:rPr>
          <w:rFonts w:hint="eastAsia" w:ascii="仿宋" w:hAnsi="仿宋" w:eastAsia="仿宋" w:cs="宋体"/>
          <w:sz w:val="32"/>
          <w:szCs w:val="32"/>
          <w:lang w:eastAsia="zh-CN"/>
        </w:rPr>
        <w:t>物价管理</w:t>
      </w:r>
      <w:r>
        <w:rPr>
          <w:rFonts w:hint="eastAsia" w:ascii="仿宋" w:hAnsi="仿宋" w:eastAsia="仿宋" w:cs="宋体"/>
          <w:sz w:val="32"/>
          <w:szCs w:val="32"/>
        </w:rPr>
        <w:t>（项）</w:t>
      </w:r>
      <w:r>
        <w:rPr>
          <w:rFonts w:hint="eastAsia" w:ascii="仿宋" w:hAnsi="仿宋" w:eastAsia="仿宋" w:cs="宋体"/>
          <w:sz w:val="32"/>
          <w:szCs w:val="32"/>
          <w:lang w:val="en-US" w:eastAsia="zh-CN"/>
        </w:rPr>
        <w:t>10</w:t>
      </w:r>
      <w:r>
        <w:rPr>
          <w:rFonts w:hint="eastAsia" w:ascii="仿宋" w:hAnsi="仿宋" w:eastAsia="仿宋" w:cs="宋体"/>
          <w:sz w:val="32"/>
          <w:szCs w:val="32"/>
        </w:rPr>
        <w:t>万元。</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宋体"/>
          <w:sz w:val="32"/>
          <w:szCs w:val="32"/>
        </w:rPr>
      </w:pPr>
      <w:r>
        <w:rPr>
          <w:rFonts w:hint="eastAsia" w:ascii="仿宋" w:hAnsi="仿宋" w:eastAsia="仿宋" w:cs="宋体"/>
          <w:sz w:val="32"/>
          <w:szCs w:val="32"/>
          <w:lang w:val="en-US" w:eastAsia="zh-CN"/>
        </w:rPr>
        <w:t>5</w:t>
      </w:r>
      <w:r>
        <w:rPr>
          <w:rFonts w:hint="eastAsia" w:ascii="仿宋" w:hAnsi="仿宋" w:eastAsia="仿宋" w:cs="宋体"/>
          <w:sz w:val="32"/>
          <w:szCs w:val="32"/>
        </w:rPr>
        <w:t>、一般公共服务（类）发展与改革（款）其他发展与改革事物支出（项）</w:t>
      </w:r>
      <w:r>
        <w:rPr>
          <w:rFonts w:hint="eastAsia" w:ascii="仿宋" w:hAnsi="仿宋" w:eastAsia="仿宋" w:cs="宋体"/>
          <w:sz w:val="32"/>
          <w:szCs w:val="32"/>
          <w:lang w:val="en-US" w:eastAsia="zh-CN"/>
        </w:rPr>
        <w:t>454</w:t>
      </w:r>
      <w:r>
        <w:rPr>
          <w:rFonts w:hint="eastAsia" w:ascii="仿宋" w:hAnsi="仿宋" w:eastAsia="仿宋" w:cs="宋体"/>
          <w:sz w:val="32"/>
          <w:szCs w:val="32"/>
        </w:rPr>
        <w:t>万元。</w:t>
      </w:r>
    </w:p>
    <w:p>
      <w:pPr>
        <w:pageBreakBefore w:val="0"/>
        <w:widowControl w:val="0"/>
        <w:kinsoku/>
        <w:wordWrap/>
        <w:overflowPunct/>
        <w:topLinePunct w:val="0"/>
        <w:autoSpaceDE/>
        <w:autoSpaceDN/>
        <w:bidi w:val="0"/>
        <w:adjustRightInd/>
        <w:snapToGrid/>
        <w:spacing w:line="576" w:lineRule="exact"/>
        <w:ind w:firstLine="640"/>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7</w:t>
      </w:r>
      <w:r>
        <w:rPr>
          <w:rFonts w:hint="eastAsia" w:ascii="仿宋" w:hAnsi="仿宋" w:eastAsia="仿宋" w:cs="宋体"/>
          <w:sz w:val="32"/>
          <w:szCs w:val="32"/>
        </w:rPr>
        <w:t>、社会保障和就业支出（类）财政对基本养老保险的补助（款）财政对其他基本养老保险基金的补助（项）</w:t>
      </w:r>
      <w:r>
        <w:rPr>
          <w:rFonts w:hint="eastAsia" w:ascii="仿宋" w:hAnsi="仿宋" w:eastAsia="仿宋" w:cs="宋体"/>
          <w:sz w:val="32"/>
          <w:szCs w:val="32"/>
          <w:lang w:val="en-US" w:eastAsia="zh-CN"/>
        </w:rPr>
        <w:t>179.25</w:t>
      </w:r>
    </w:p>
    <w:p>
      <w:pPr>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宋体"/>
          <w:sz w:val="32"/>
          <w:szCs w:val="32"/>
        </w:rPr>
      </w:pPr>
      <w:r>
        <w:rPr>
          <w:rFonts w:hint="eastAsia" w:ascii="仿宋" w:hAnsi="仿宋" w:eastAsia="仿宋" w:cs="宋体"/>
          <w:sz w:val="32"/>
          <w:szCs w:val="32"/>
        </w:rPr>
        <w:t>万元。</w:t>
      </w:r>
    </w:p>
    <w:p>
      <w:pPr>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宋体"/>
          <w:sz w:val="32"/>
          <w:szCs w:val="32"/>
        </w:rPr>
      </w:pPr>
      <w:r>
        <w:rPr>
          <w:rFonts w:hint="eastAsia" w:ascii="仿宋" w:hAnsi="仿宋" w:eastAsia="仿宋" w:cs="宋体"/>
          <w:sz w:val="32"/>
          <w:szCs w:val="32"/>
          <w:lang w:val="en-US" w:eastAsia="zh-CN"/>
        </w:rPr>
        <w:t>8、</w:t>
      </w:r>
      <w:r>
        <w:rPr>
          <w:rFonts w:hint="eastAsia" w:ascii="仿宋" w:hAnsi="仿宋" w:eastAsia="仿宋" w:cs="宋体"/>
          <w:sz w:val="32"/>
          <w:szCs w:val="32"/>
          <w:lang w:eastAsia="zh-CN"/>
        </w:rPr>
        <w:t>卫生健康支出</w:t>
      </w:r>
      <w:r>
        <w:rPr>
          <w:rFonts w:hint="eastAsia" w:ascii="仿宋" w:hAnsi="仿宋" w:eastAsia="仿宋" w:cs="宋体"/>
          <w:sz w:val="32"/>
          <w:szCs w:val="32"/>
        </w:rPr>
        <w:t>（类）</w:t>
      </w:r>
      <w:r>
        <w:rPr>
          <w:rFonts w:hint="eastAsia" w:ascii="仿宋" w:hAnsi="仿宋" w:eastAsia="仿宋" w:cs="宋体"/>
          <w:sz w:val="32"/>
          <w:szCs w:val="32"/>
          <w:lang w:eastAsia="zh-CN"/>
        </w:rPr>
        <w:t>行政单位医疗</w:t>
      </w:r>
      <w:r>
        <w:rPr>
          <w:rFonts w:hint="eastAsia" w:ascii="仿宋" w:hAnsi="仿宋" w:eastAsia="仿宋" w:cs="宋体"/>
          <w:sz w:val="32"/>
          <w:szCs w:val="32"/>
        </w:rPr>
        <w:t>（款）财政对城镇职工基本医疗保险基金的补助（项）</w:t>
      </w:r>
      <w:r>
        <w:rPr>
          <w:rFonts w:hint="eastAsia" w:ascii="仿宋" w:hAnsi="仿宋" w:eastAsia="仿宋" w:cs="宋体"/>
          <w:sz w:val="32"/>
          <w:szCs w:val="32"/>
          <w:lang w:val="en-US" w:eastAsia="zh-CN"/>
        </w:rPr>
        <w:t>84.71</w:t>
      </w:r>
      <w:r>
        <w:rPr>
          <w:rFonts w:hint="eastAsia" w:ascii="仿宋" w:hAnsi="仿宋" w:eastAsia="仿宋" w:cs="宋体"/>
          <w:sz w:val="32"/>
          <w:szCs w:val="32"/>
        </w:rPr>
        <w:t>万元。</w:t>
      </w:r>
    </w:p>
    <w:p>
      <w:pPr>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宋体"/>
          <w:sz w:val="32"/>
          <w:szCs w:val="32"/>
        </w:rPr>
      </w:pPr>
      <w:r>
        <w:rPr>
          <w:rFonts w:hint="eastAsia" w:ascii="仿宋" w:hAnsi="仿宋" w:eastAsia="仿宋" w:cs="宋体"/>
          <w:sz w:val="32"/>
          <w:szCs w:val="32"/>
          <w:lang w:val="en-US" w:eastAsia="zh-CN"/>
        </w:rPr>
        <w:t>9、</w:t>
      </w:r>
      <w:r>
        <w:rPr>
          <w:rFonts w:hint="eastAsia" w:ascii="仿宋" w:hAnsi="仿宋" w:eastAsia="仿宋" w:cs="宋体"/>
          <w:sz w:val="32"/>
          <w:szCs w:val="32"/>
        </w:rPr>
        <w:t>医疗卫生与计划生育支出（类）</w:t>
      </w:r>
      <w:r>
        <w:rPr>
          <w:rFonts w:hint="eastAsia" w:ascii="仿宋" w:hAnsi="仿宋" w:eastAsia="仿宋" w:cs="宋体"/>
          <w:sz w:val="32"/>
          <w:szCs w:val="32"/>
          <w:lang w:eastAsia="zh-CN"/>
        </w:rPr>
        <w:t>行政单位医疗（款）公务员医疗补助</w:t>
      </w:r>
      <w:r>
        <w:rPr>
          <w:rFonts w:hint="eastAsia" w:ascii="仿宋" w:hAnsi="仿宋" w:eastAsia="仿宋" w:cs="宋体"/>
          <w:sz w:val="32"/>
          <w:szCs w:val="32"/>
        </w:rPr>
        <w:t>（项）</w:t>
      </w:r>
      <w:r>
        <w:rPr>
          <w:rFonts w:hint="eastAsia" w:ascii="仿宋" w:hAnsi="仿宋" w:eastAsia="仿宋" w:cs="宋体"/>
          <w:sz w:val="32"/>
          <w:szCs w:val="32"/>
          <w:lang w:val="en-US" w:eastAsia="zh-CN"/>
        </w:rPr>
        <w:t>17.96</w:t>
      </w:r>
      <w:r>
        <w:rPr>
          <w:rFonts w:hint="eastAsia" w:ascii="仿宋" w:hAnsi="仿宋" w:eastAsia="仿宋" w:cs="宋体"/>
          <w:sz w:val="32"/>
          <w:szCs w:val="32"/>
        </w:rPr>
        <w:t>万元。</w:t>
      </w:r>
    </w:p>
    <w:p>
      <w:pPr>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宋体"/>
          <w:sz w:val="32"/>
          <w:szCs w:val="32"/>
        </w:rPr>
      </w:pPr>
      <w:r>
        <w:rPr>
          <w:rFonts w:hint="eastAsia" w:ascii="仿宋" w:hAnsi="仿宋" w:eastAsia="仿宋" w:cs="宋体"/>
          <w:sz w:val="32"/>
          <w:szCs w:val="32"/>
          <w:lang w:val="en-US" w:eastAsia="zh-CN"/>
        </w:rPr>
        <w:t>10、</w:t>
      </w:r>
      <w:r>
        <w:rPr>
          <w:rFonts w:hint="eastAsia" w:ascii="仿宋" w:hAnsi="仿宋" w:eastAsia="仿宋" w:cs="宋体"/>
          <w:sz w:val="32"/>
          <w:szCs w:val="32"/>
        </w:rPr>
        <w:t>住房</w:t>
      </w:r>
      <w:r>
        <w:rPr>
          <w:rFonts w:hint="eastAsia" w:ascii="仿宋" w:hAnsi="仿宋" w:eastAsia="仿宋" w:cs="宋体"/>
          <w:sz w:val="32"/>
          <w:szCs w:val="32"/>
          <w:lang w:eastAsia="zh-CN"/>
        </w:rPr>
        <w:t>保障</w:t>
      </w:r>
      <w:r>
        <w:rPr>
          <w:rFonts w:hint="eastAsia" w:ascii="仿宋" w:hAnsi="仿宋" w:eastAsia="仿宋" w:cs="宋体"/>
          <w:sz w:val="32"/>
          <w:szCs w:val="32"/>
        </w:rPr>
        <w:t>支出</w:t>
      </w:r>
      <w:r>
        <w:rPr>
          <w:rFonts w:hint="eastAsia" w:ascii="仿宋" w:hAnsi="仿宋" w:eastAsia="仿宋" w:cs="宋体"/>
          <w:sz w:val="32"/>
          <w:szCs w:val="32"/>
          <w:lang w:eastAsia="zh-CN"/>
        </w:rPr>
        <w:t>（类）住房改革支出（款）住房公积金（项）</w:t>
      </w:r>
      <w:r>
        <w:rPr>
          <w:rFonts w:hint="eastAsia" w:ascii="仿宋" w:hAnsi="仿宋" w:eastAsia="仿宋" w:cs="宋体"/>
          <w:sz w:val="32"/>
          <w:szCs w:val="32"/>
          <w:lang w:val="en-US" w:eastAsia="zh-CN"/>
        </w:rPr>
        <w:t>142.33万元。</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宋体"/>
          <w:sz w:val="32"/>
          <w:szCs w:val="32"/>
        </w:rPr>
      </w:pPr>
      <w:r>
        <w:rPr>
          <w:rFonts w:hint="eastAsia" w:ascii="仿宋" w:hAnsi="仿宋" w:eastAsia="仿宋" w:cs="宋体"/>
          <w:sz w:val="32"/>
          <w:szCs w:val="32"/>
          <w:lang w:val="en-US" w:eastAsia="zh-CN"/>
        </w:rPr>
        <w:t>11、</w:t>
      </w:r>
      <w:r>
        <w:rPr>
          <w:rFonts w:hint="eastAsia" w:ascii="仿宋" w:hAnsi="仿宋" w:eastAsia="仿宋" w:cs="宋体"/>
          <w:sz w:val="32"/>
          <w:szCs w:val="32"/>
        </w:rPr>
        <w:t>粮油物资储备支出（类）粮油事务（款）粮食专项业务活动（项）7万元。</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rPr>
      </w:pPr>
      <w:r>
        <w:rPr>
          <w:rFonts w:hint="eastAsia" w:ascii="仿宋" w:hAnsi="仿宋" w:eastAsia="仿宋" w:cs="宋体"/>
          <w:sz w:val="32"/>
          <w:szCs w:val="32"/>
          <w:lang w:val="en-US" w:eastAsia="zh-CN"/>
        </w:rPr>
        <w:t>12、</w:t>
      </w:r>
      <w:r>
        <w:rPr>
          <w:rFonts w:hint="eastAsia" w:ascii="仿宋" w:hAnsi="仿宋" w:eastAsia="仿宋" w:cs="宋体"/>
          <w:sz w:val="32"/>
          <w:szCs w:val="32"/>
        </w:rPr>
        <w:t>粮油物资储备支出（类）粮油事务（款）</w:t>
      </w:r>
      <w:r>
        <w:rPr>
          <w:rFonts w:hint="eastAsia" w:ascii="仿宋" w:hAnsi="仿宋" w:eastAsia="仿宋" w:cs="宋体"/>
          <w:sz w:val="32"/>
          <w:szCs w:val="32"/>
          <w:lang w:eastAsia="zh-CN"/>
        </w:rPr>
        <w:t>零食风险基金</w:t>
      </w:r>
      <w:r>
        <w:rPr>
          <w:rFonts w:hint="eastAsia" w:ascii="仿宋" w:hAnsi="仿宋" w:eastAsia="仿宋" w:cs="宋体"/>
          <w:sz w:val="32"/>
          <w:szCs w:val="32"/>
        </w:rPr>
        <w:t>（项）</w:t>
      </w:r>
      <w:r>
        <w:rPr>
          <w:rFonts w:hint="eastAsia" w:ascii="仿宋" w:hAnsi="仿宋" w:eastAsia="仿宋" w:cs="宋体"/>
          <w:sz w:val="32"/>
          <w:szCs w:val="32"/>
          <w:lang w:val="en-US" w:eastAsia="zh-CN"/>
        </w:rPr>
        <w:t>5</w:t>
      </w:r>
      <w:r>
        <w:rPr>
          <w:rFonts w:hint="eastAsia" w:ascii="仿宋" w:hAnsi="仿宋" w:eastAsia="仿宋" w:cs="宋体"/>
          <w:sz w:val="32"/>
          <w:szCs w:val="32"/>
        </w:rPr>
        <w:t>万元。</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宋体"/>
          <w:sz w:val="32"/>
          <w:szCs w:val="32"/>
        </w:rPr>
      </w:pPr>
      <w:r>
        <w:rPr>
          <w:rFonts w:hint="eastAsia" w:ascii="仿宋" w:hAnsi="仿宋" w:eastAsia="仿宋" w:cs="宋体"/>
          <w:sz w:val="32"/>
          <w:szCs w:val="32"/>
          <w:lang w:val="en-US" w:eastAsia="zh-CN"/>
        </w:rPr>
        <w:t>13、</w:t>
      </w:r>
      <w:r>
        <w:rPr>
          <w:rFonts w:hint="eastAsia" w:ascii="仿宋" w:hAnsi="仿宋" w:eastAsia="仿宋" w:cs="宋体"/>
          <w:sz w:val="32"/>
          <w:szCs w:val="32"/>
        </w:rPr>
        <w:t>粮油物资储备支出（类）粮油事务（款）其他粮油事务支出（项）</w:t>
      </w:r>
      <w:r>
        <w:rPr>
          <w:rFonts w:hint="eastAsia" w:ascii="仿宋" w:hAnsi="仿宋" w:eastAsia="仿宋" w:cs="宋体"/>
          <w:sz w:val="32"/>
          <w:szCs w:val="32"/>
          <w:lang w:val="en-US" w:eastAsia="zh-CN"/>
        </w:rPr>
        <w:t>383.45</w:t>
      </w:r>
      <w:r>
        <w:rPr>
          <w:rFonts w:hint="eastAsia" w:ascii="仿宋" w:hAnsi="仿宋" w:eastAsia="仿宋" w:cs="宋体"/>
          <w:sz w:val="32"/>
          <w:szCs w:val="32"/>
        </w:rPr>
        <w:t>万元。</w:t>
      </w:r>
    </w:p>
    <w:p>
      <w:pPr>
        <w:pageBreakBefore w:val="0"/>
        <w:widowControl w:val="0"/>
        <w:kinsoku/>
        <w:wordWrap/>
        <w:overflowPunct/>
        <w:topLinePunct w:val="0"/>
        <w:autoSpaceDE/>
        <w:autoSpaceDN/>
        <w:bidi w:val="0"/>
        <w:adjustRightInd/>
        <w:snapToGrid/>
        <w:spacing w:line="576" w:lineRule="exact"/>
        <w:ind w:firstLine="630" w:firstLineChars="196"/>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三、2023年度一般公共预算基本支出情况说明</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20</w:t>
      </w:r>
      <w:r>
        <w:rPr>
          <w:rFonts w:hint="eastAsia" w:ascii="仿宋" w:hAnsi="仿宋" w:eastAsia="仿宋"/>
          <w:sz w:val="32"/>
          <w:szCs w:val="32"/>
          <w:lang w:val="en-US" w:eastAsia="zh-CN"/>
        </w:rPr>
        <w:t>23</w:t>
      </w:r>
      <w:r>
        <w:rPr>
          <w:rFonts w:hint="eastAsia" w:ascii="仿宋" w:hAnsi="仿宋" w:eastAsia="仿宋"/>
          <w:sz w:val="32"/>
          <w:szCs w:val="32"/>
        </w:rPr>
        <w:t>年一般公共预算基本支出</w:t>
      </w:r>
      <w:r>
        <w:rPr>
          <w:rFonts w:hint="eastAsia" w:ascii="仿宋" w:hAnsi="仿宋" w:eastAsia="仿宋"/>
          <w:sz w:val="32"/>
          <w:szCs w:val="32"/>
          <w:lang w:val="en-US" w:eastAsia="zh-CN"/>
        </w:rPr>
        <w:t>1867.65</w:t>
      </w:r>
      <w:r>
        <w:rPr>
          <w:rFonts w:hint="eastAsia" w:ascii="仿宋" w:hAnsi="仿宋" w:eastAsia="仿宋"/>
          <w:sz w:val="32"/>
          <w:szCs w:val="32"/>
        </w:rPr>
        <w:t>万元，其中：</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1.工资福利支出</w:t>
      </w:r>
      <w:r>
        <w:rPr>
          <w:rFonts w:hint="eastAsia" w:ascii="仿宋" w:hAnsi="仿宋" w:eastAsia="仿宋"/>
          <w:sz w:val="32"/>
          <w:szCs w:val="32"/>
          <w:lang w:val="en-US" w:eastAsia="zh-CN"/>
        </w:rPr>
        <w:t>1745.76</w:t>
      </w:r>
      <w:r>
        <w:rPr>
          <w:rFonts w:hint="eastAsia" w:ascii="仿宋" w:hAnsi="仿宋" w:eastAsia="仿宋"/>
          <w:sz w:val="32"/>
          <w:szCs w:val="32"/>
        </w:rPr>
        <w:t>万元；</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2.商品和服务支出</w:t>
      </w:r>
      <w:r>
        <w:rPr>
          <w:rFonts w:hint="eastAsia" w:ascii="仿宋" w:hAnsi="仿宋" w:eastAsia="仿宋"/>
          <w:sz w:val="32"/>
          <w:szCs w:val="32"/>
          <w:lang w:val="en-US" w:eastAsia="zh-CN"/>
        </w:rPr>
        <w:t>113.58</w:t>
      </w:r>
      <w:r>
        <w:rPr>
          <w:rFonts w:hint="eastAsia" w:ascii="仿宋" w:hAnsi="仿宋" w:eastAsia="仿宋"/>
          <w:sz w:val="32"/>
          <w:szCs w:val="32"/>
        </w:rPr>
        <w:t>万元，包括</w:t>
      </w:r>
      <w:r>
        <w:rPr>
          <w:rFonts w:hint="eastAsia" w:ascii="仿宋" w:hAnsi="仿宋" w:eastAsia="仿宋"/>
          <w:sz w:val="32"/>
          <w:szCs w:val="32"/>
          <w:lang w:eastAsia="zh-CN"/>
        </w:rPr>
        <w:t>残疾人就业保障金</w:t>
      </w:r>
      <w:r>
        <w:rPr>
          <w:rFonts w:hint="eastAsia" w:ascii="仿宋" w:hAnsi="仿宋" w:eastAsia="仿宋"/>
          <w:sz w:val="32"/>
          <w:szCs w:val="32"/>
          <w:lang w:val="en-US" w:eastAsia="zh-CN"/>
        </w:rPr>
        <w:t>16万元，</w:t>
      </w:r>
      <w:r>
        <w:rPr>
          <w:rFonts w:hint="eastAsia" w:ascii="仿宋" w:hAnsi="仿宋" w:eastAsia="仿宋"/>
          <w:sz w:val="32"/>
          <w:szCs w:val="32"/>
        </w:rPr>
        <w:t>办公费</w:t>
      </w:r>
      <w:r>
        <w:rPr>
          <w:rFonts w:hint="eastAsia" w:ascii="仿宋" w:hAnsi="仿宋" w:eastAsia="仿宋"/>
          <w:sz w:val="32"/>
          <w:szCs w:val="32"/>
          <w:lang w:val="en-US" w:eastAsia="zh-CN"/>
        </w:rPr>
        <w:t>2.66</w:t>
      </w:r>
      <w:r>
        <w:rPr>
          <w:rFonts w:hint="eastAsia" w:ascii="仿宋" w:hAnsi="仿宋" w:eastAsia="仿宋"/>
          <w:sz w:val="32"/>
          <w:szCs w:val="32"/>
        </w:rPr>
        <w:t>万元，</w:t>
      </w:r>
      <w:r>
        <w:rPr>
          <w:rFonts w:hint="eastAsia" w:ascii="仿宋" w:hAnsi="仿宋" w:eastAsia="仿宋"/>
          <w:sz w:val="32"/>
          <w:szCs w:val="32"/>
          <w:lang w:eastAsia="zh-CN"/>
        </w:rPr>
        <w:t>电费</w:t>
      </w:r>
      <w:r>
        <w:rPr>
          <w:rFonts w:hint="eastAsia" w:ascii="仿宋" w:hAnsi="仿宋" w:eastAsia="仿宋"/>
          <w:sz w:val="32"/>
          <w:szCs w:val="32"/>
          <w:lang w:val="en-US" w:eastAsia="zh-CN"/>
        </w:rPr>
        <w:t>7万元，邮电费8万元，差旅费2万元，维修（护）费2万元，公务接待3万元，委托业务费4.98万元，工会会费24.33万元，福利费0.37万元，公务用车运行维护费30万元，其他交通费用0.54万元，其他商品服务支出12.7万元</w:t>
      </w:r>
      <w:r>
        <w:rPr>
          <w:rFonts w:hint="eastAsia" w:ascii="仿宋" w:hAnsi="仿宋" w:eastAsia="仿宋"/>
          <w:sz w:val="32"/>
          <w:szCs w:val="32"/>
        </w:rPr>
        <w:t>；</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3.对个人和家庭补助支出</w:t>
      </w:r>
      <w:r>
        <w:rPr>
          <w:rFonts w:hint="eastAsia" w:ascii="仿宋" w:hAnsi="仿宋" w:eastAsia="仿宋"/>
          <w:sz w:val="32"/>
          <w:szCs w:val="32"/>
          <w:lang w:val="en-US" w:eastAsia="zh-CN"/>
        </w:rPr>
        <w:t>8.31</w:t>
      </w:r>
      <w:r>
        <w:rPr>
          <w:rFonts w:hint="eastAsia" w:ascii="仿宋" w:hAnsi="仿宋" w:eastAsia="仿宋"/>
          <w:sz w:val="32"/>
          <w:szCs w:val="32"/>
        </w:rPr>
        <w:t>万元</w:t>
      </w:r>
      <w:r>
        <w:rPr>
          <w:rFonts w:hint="eastAsia" w:ascii="仿宋" w:hAnsi="仿宋" w:eastAsia="仿宋"/>
          <w:sz w:val="32"/>
          <w:szCs w:val="32"/>
          <w:lang w:eastAsia="zh-CN"/>
        </w:rPr>
        <w:t>，包括抚恤金</w:t>
      </w:r>
      <w:r>
        <w:rPr>
          <w:rFonts w:hint="eastAsia" w:ascii="仿宋" w:hAnsi="仿宋" w:eastAsia="仿宋"/>
          <w:sz w:val="32"/>
          <w:szCs w:val="32"/>
          <w:lang w:val="en-US" w:eastAsia="zh-CN"/>
        </w:rPr>
        <w:t>1.11万元，生活补助7.2万元</w:t>
      </w:r>
      <w:r>
        <w:rPr>
          <w:rFonts w:hint="eastAsia" w:ascii="仿宋" w:hAnsi="仿宋" w:eastAsia="仿宋"/>
          <w:sz w:val="32"/>
          <w:szCs w:val="32"/>
        </w:rPr>
        <w:t>。</w:t>
      </w:r>
    </w:p>
    <w:p>
      <w:pPr>
        <w:pageBreakBefore w:val="0"/>
        <w:widowControl w:val="0"/>
        <w:kinsoku/>
        <w:wordWrap/>
        <w:overflowPunct/>
        <w:topLinePunct w:val="0"/>
        <w:autoSpaceDE/>
        <w:autoSpaceDN/>
        <w:bidi w:val="0"/>
        <w:adjustRightInd/>
        <w:snapToGrid/>
        <w:spacing w:line="576" w:lineRule="exact"/>
        <w:ind w:firstLine="630" w:firstLineChars="196"/>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四、2023年度一般公共预算“三公”经费预算情况说明</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宋体"/>
          <w:sz w:val="32"/>
          <w:szCs w:val="32"/>
        </w:rPr>
      </w:pPr>
      <w:r>
        <w:rPr>
          <w:rFonts w:hint="eastAsia" w:ascii="仿宋" w:hAnsi="仿宋" w:eastAsia="仿宋" w:cs="宋体"/>
          <w:sz w:val="32"/>
          <w:szCs w:val="32"/>
        </w:rPr>
        <w:t>20</w:t>
      </w:r>
      <w:r>
        <w:rPr>
          <w:rFonts w:hint="eastAsia" w:ascii="仿宋" w:hAnsi="仿宋" w:eastAsia="仿宋" w:cs="宋体"/>
          <w:sz w:val="32"/>
          <w:szCs w:val="32"/>
          <w:lang w:val="en-US" w:eastAsia="zh-CN"/>
        </w:rPr>
        <w:t>22</w:t>
      </w:r>
      <w:r>
        <w:rPr>
          <w:rFonts w:hint="eastAsia" w:ascii="仿宋" w:hAnsi="仿宋" w:eastAsia="仿宋" w:cs="宋体"/>
          <w:sz w:val="32"/>
          <w:szCs w:val="32"/>
        </w:rPr>
        <w:t>年公务接待费预算</w:t>
      </w:r>
      <w:r>
        <w:rPr>
          <w:rFonts w:hint="eastAsia" w:ascii="仿宋" w:hAnsi="仿宋" w:eastAsia="仿宋" w:cs="宋体"/>
          <w:sz w:val="32"/>
          <w:szCs w:val="32"/>
          <w:lang w:val="en-US" w:eastAsia="zh-CN"/>
        </w:rPr>
        <w:t>18.47</w:t>
      </w:r>
      <w:r>
        <w:rPr>
          <w:rFonts w:hint="eastAsia" w:ascii="仿宋" w:hAnsi="仿宋" w:eastAsia="仿宋" w:cs="宋体"/>
          <w:sz w:val="32"/>
          <w:szCs w:val="32"/>
        </w:rPr>
        <w:t>万元，</w:t>
      </w:r>
      <w:r>
        <w:rPr>
          <w:rFonts w:hint="eastAsia" w:ascii="仿宋" w:hAnsi="仿宋" w:eastAsia="仿宋" w:cs="宋体"/>
          <w:sz w:val="32"/>
          <w:szCs w:val="32"/>
          <w:lang w:val="en-US" w:eastAsia="zh-CN"/>
        </w:rPr>
        <w:t>2023</w:t>
      </w:r>
      <w:r>
        <w:rPr>
          <w:rFonts w:hint="eastAsia" w:ascii="仿宋" w:hAnsi="仿宋" w:eastAsia="仿宋" w:cs="宋体"/>
          <w:sz w:val="32"/>
          <w:szCs w:val="32"/>
        </w:rPr>
        <w:t>年预算</w:t>
      </w:r>
      <w:r>
        <w:rPr>
          <w:rFonts w:hint="eastAsia" w:ascii="仿宋" w:hAnsi="仿宋" w:eastAsia="仿宋" w:cs="宋体"/>
          <w:sz w:val="32"/>
          <w:szCs w:val="32"/>
          <w:lang w:val="en-US" w:eastAsia="zh-CN"/>
        </w:rPr>
        <w:t>3</w:t>
      </w:r>
      <w:r>
        <w:rPr>
          <w:rFonts w:hint="eastAsia" w:ascii="仿宋" w:hAnsi="仿宋" w:eastAsia="仿宋" w:cs="宋体"/>
          <w:sz w:val="32"/>
          <w:szCs w:val="32"/>
        </w:rPr>
        <w:t>万元，同比</w:t>
      </w:r>
      <w:r>
        <w:rPr>
          <w:rFonts w:hint="eastAsia" w:ascii="仿宋" w:hAnsi="仿宋" w:eastAsia="仿宋" w:cs="宋体"/>
          <w:sz w:val="32"/>
          <w:szCs w:val="32"/>
          <w:lang w:eastAsia="zh-CN"/>
        </w:rPr>
        <w:t>减少</w:t>
      </w:r>
      <w:r>
        <w:rPr>
          <w:rFonts w:hint="eastAsia" w:ascii="仿宋" w:hAnsi="仿宋" w:eastAsia="仿宋" w:cs="宋体"/>
          <w:sz w:val="32"/>
          <w:szCs w:val="32"/>
          <w:lang w:val="en-US" w:eastAsia="zh-CN"/>
        </w:rPr>
        <w:t>83.76</w:t>
      </w:r>
      <w:r>
        <w:rPr>
          <w:rFonts w:hint="eastAsia" w:ascii="仿宋" w:hAnsi="仿宋" w:eastAsia="仿宋" w:cs="宋体"/>
          <w:sz w:val="32"/>
          <w:szCs w:val="32"/>
        </w:rPr>
        <w:t>%</w:t>
      </w:r>
      <w:r>
        <w:rPr>
          <w:rFonts w:hint="eastAsia" w:ascii="仿宋" w:hAnsi="仿宋" w:eastAsia="仿宋" w:cs="宋体"/>
          <w:sz w:val="32"/>
          <w:szCs w:val="32"/>
          <w:lang w:eastAsia="zh-CN"/>
        </w:rPr>
        <w:t>，主要原因是由预算单位按照往年接待情况自行填报</w:t>
      </w:r>
      <w:r>
        <w:rPr>
          <w:rFonts w:hint="eastAsia" w:ascii="仿宋" w:hAnsi="仿宋" w:eastAsia="仿宋" w:cs="宋体"/>
          <w:sz w:val="32"/>
          <w:szCs w:val="32"/>
          <w:lang w:val="en-US" w:eastAsia="zh-CN"/>
        </w:rPr>
        <w:t>预算</w:t>
      </w:r>
      <w:r>
        <w:rPr>
          <w:rFonts w:hint="eastAsia" w:ascii="仿宋" w:hAnsi="仿宋" w:eastAsia="仿宋" w:cs="宋体"/>
          <w:sz w:val="32"/>
          <w:szCs w:val="32"/>
        </w:rPr>
        <w:t>；</w:t>
      </w:r>
      <w:r>
        <w:rPr>
          <w:rFonts w:hint="eastAsia" w:ascii="仿宋" w:hAnsi="仿宋" w:eastAsia="仿宋" w:cs="宋体"/>
          <w:sz w:val="32"/>
          <w:szCs w:val="32"/>
          <w:lang w:val="en-US" w:eastAsia="zh-CN"/>
        </w:rPr>
        <w:t>2022</w:t>
      </w:r>
      <w:r>
        <w:rPr>
          <w:rFonts w:hint="eastAsia" w:ascii="仿宋" w:hAnsi="仿宋" w:eastAsia="仿宋" w:cs="宋体"/>
          <w:sz w:val="32"/>
          <w:szCs w:val="32"/>
        </w:rPr>
        <w:t>年公务用车运行维护费预算</w:t>
      </w:r>
      <w:r>
        <w:rPr>
          <w:rFonts w:hint="eastAsia" w:ascii="仿宋" w:hAnsi="仿宋" w:eastAsia="仿宋" w:cs="宋体"/>
          <w:sz w:val="32"/>
          <w:szCs w:val="32"/>
          <w:lang w:val="en-US" w:eastAsia="zh-CN"/>
        </w:rPr>
        <w:t>69.65</w:t>
      </w:r>
      <w:r>
        <w:rPr>
          <w:rFonts w:hint="eastAsia" w:ascii="仿宋" w:hAnsi="仿宋" w:eastAsia="仿宋" w:cs="宋体"/>
          <w:sz w:val="32"/>
          <w:szCs w:val="32"/>
        </w:rPr>
        <w:t>万元，20</w:t>
      </w:r>
      <w:r>
        <w:rPr>
          <w:rFonts w:hint="eastAsia" w:ascii="仿宋" w:hAnsi="仿宋" w:eastAsia="仿宋" w:cs="宋体"/>
          <w:sz w:val="32"/>
          <w:szCs w:val="32"/>
          <w:lang w:val="en-US" w:eastAsia="zh-CN"/>
        </w:rPr>
        <w:t>23</w:t>
      </w:r>
      <w:r>
        <w:rPr>
          <w:rFonts w:hint="eastAsia" w:ascii="仿宋" w:hAnsi="仿宋" w:eastAsia="仿宋" w:cs="宋体"/>
          <w:sz w:val="32"/>
          <w:szCs w:val="32"/>
        </w:rPr>
        <w:t>年预算</w:t>
      </w:r>
      <w:r>
        <w:rPr>
          <w:rFonts w:hint="eastAsia" w:ascii="仿宋" w:hAnsi="仿宋" w:eastAsia="仿宋" w:cs="宋体"/>
          <w:sz w:val="32"/>
          <w:szCs w:val="32"/>
          <w:lang w:val="en-US" w:eastAsia="zh-CN"/>
        </w:rPr>
        <w:t>68</w:t>
      </w:r>
      <w:r>
        <w:rPr>
          <w:rFonts w:hint="eastAsia" w:ascii="仿宋" w:hAnsi="仿宋" w:eastAsia="仿宋" w:cs="宋体"/>
          <w:sz w:val="32"/>
          <w:szCs w:val="32"/>
        </w:rPr>
        <w:t>万元，同比</w:t>
      </w:r>
      <w:r>
        <w:rPr>
          <w:rFonts w:hint="eastAsia" w:ascii="仿宋" w:hAnsi="仿宋" w:eastAsia="仿宋" w:cs="宋体"/>
          <w:sz w:val="32"/>
          <w:szCs w:val="32"/>
          <w:lang w:eastAsia="zh-CN"/>
        </w:rPr>
        <w:t>减少</w:t>
      </w:r>
      <w:r>
        <w:rPr>
          <w:rFonts w:hint="eastAsia" w:ascii="仿宋" w:hAnsi="仿宋" w:eastAsia="仿宋" w:cs="宋体"/>
          <w:sz w:val="32"/>
          <w:szCs w:val="32"/>
          <w:lang w:val="en-US" w:eastAsia="zh-CN"/>
        </w:rPr>
        <w:t>2.37</w:t>
      </w:r>
      <w:r>
        <w:rPr>
          <w:rFonts w:hint="eastAsia" w:ascii="仿宋" w:hAnsi="仿宋" w:eastAsia="仿宋" w:cs="宋体"/>
          <w:sz w:val="32"/>
          <w:szCs w:val="32"/>
        </w:rPr>
        <w:t>%，主要</w:t>
      </w:r>
      <w:r>
        <w:rPr>
          <w:rFonts w:hint="eastAsia" w:ascii="仿宋" w:hAnsi="仿宋" w:eastAsia="仿宋" w:cs="宋体"/>
          <w:sz w:val="32"/>
          <w:szCs w:val="32"/>
          <w:lang w:val="en-US" w:eastAsia="zh-CN"/>
        </w:rPr>
        <w:t>原因是</w:t>
      </w:r>
      <w:r>
        <w:rPr>
          <w:rFonts w:hint="eastAsia" w:ascii="仿宋" w:hAnsi="仿宋" w:eastAsia="仿宋" w:cs="宋体"/>
          <w:sz w:val="32"/>
          <w:szCs w:val="32"/>
          <w:lang w:eastAsia="zh-CN"/>
        </w:rPr>
        <w:t>在</w:t>
      </w:r>
      <w:r>
        <w:rPr>
          <w:rFonts w:hint="eastAsia" w:ascii="仿宋" w:hAnsi="仿宋" w:eastAsia="仿宋" w:cs="宋体"/>
          <w:sz w:val="32"/>
          <w:szCs w:val="32"/>
          <w:lang w:val="en-US" w:eastAsia="zh-CN"/>
        </w:rPr>
        <w:t>项目工作经费中做了车辆运行预算</w:t>
      </w:r>
      <w:r>
        <w:rPr>
          <w:rFonts w:hint="eastAsia" w:ascii="仿宋" w:hAnsi="仿宋" w:eastAsia="仿宋" w:cs="宋体"/>
          <w:sz w:val="32"/>
          <w:szCs w:val="32"/>
          <w:lang w:eastAsia="zh-CN"/>
        </w:rPr>
        <w:t>；</w:t>
      </w:r>
      <w:r>
        <w:rPr>
          <w:rFonts w:hint="eastAsia" w:ascii="仿宋" w:hAnsi="仿宋" w:eastAsia="仿宋" w:cs="宋体"/>
          <w:sz w:val="32"/>
          <w:szCs w:val="32"/>
        </w:rPr>
        <w:t>因公出国（境)费用两年预算均为0。</w:t>
      </w:r>
    </w:p>
    <w:p>
      <w:pPr>
        <w:pageBreakBefore w:val="0"/>
        <w:widowControl w:val="0"/>
        <w:kinsoku/>
        <w:wordWrap/>
        <w:overflowPunct/>
        <w:topLinePunct w:val="0"/>
        <w:autoSpaceDE/>
        <w:autoSpaceDN/>
        <w:bidi w:val="0"/>
        <w:adjustRightInd/>
        <w:snapToGrid/>
        <w:spacing w:line="576" w:lineRule="exact"/>
        <w:ind w:firstLine="630" w:firstLineChars="196"/>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五、政府采购安排情况</w:t>
      </w:r>
    </w:p>
    <w:p>
      <w:pPr>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宋体"/>
          <w:sz w:val="32"/>
          <w:szCs w:val="32"/>
        </w:rPr>
      </w:pPr>
      <w:r>
        <w:rPr>
          <w:rFonts w:hint="eastAsia" w:ascii="仿宋_GB2312" w:hAnsi="仿宋_GB2312" w:eastAsia="仿宋_GB2312"/>
          <w:sz w:val="32"/>
          <w:szCs w:val="32"/>
        </w:rPr>
        <w:t xml:space="preserve">    </w:t>
      </w:r>
      <w:r>
        <w:rPr>
          <w:rFonts w:hint="eastAsia" w:ascii="仿宋" w:hAnsi="仿宋" w:eastAsia="仿宋" w:cs="宋体"/>
          <w:sz w:val="32"/>
          <w:szCs w:val="32"/>
        </w:rPr>
        <w:t>20</w:t>
      </w:r>
      <w:r>
        <w:rPr>
          <w:rFonts w:hint="eastAsia" w:ascii="仿宋" w:hAnsi="仿宋" w:eastAsia="仿宋" w:cs="宋体"/>
          <w:sz w:val="32"/>
          <w:szCs w:val="32"/>
          <w:lang w:val="en-US" w:eastAsia="zh-CN"/>
        </w:rPr>
        <w:t>23</w:t>
      </w:r>
      <w:r>
        <w:rPr>
          <w:rFonts w:hint="eastAsia" w:ascii="仿宋" w:hAnsi="仿宋" w:eastAsia="仿宋" w:cs="宋体"/>
          <w:sz w:val="32"/>
          <w:szCs w:val="32"/>
        </w:rPr>
        <w:t>年度我单位无政府采购安排</w:t>
      </w:r>
    </w:p>
    <w:p>
      <w:pPr>
        <w:pageBreakBefore w:val="0"/>
        <w:widowControl w:val="0"/>
        <w:kinsoku/>
        <w:wordWrap/>
        <w:overflowPunct/>
        <w:topLinePunct w:val="0"/>
        <w:autoSpaceDE/>
        <w:autoSpaceDN/>
        <w:bidi w:val="0"/>
        <w:adjustRightInd/>
        <w:snapToGrid/>
        <w:spacing w:line="576" w:lineRule="exact"/>
        <w:ind w:firstLine="630" w:firstLineChars="196"/>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六、2023年度政府性基金预算支出情况说明</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宋体"/>
          <w:sz w:val="32"/>
          <w:szCs w:val="32"/>
        </w:rPr>
      </w:pPr>
      <w:r>
        <w:rPr>
          <w:rFonts w:hint="eastAsia" w:ascii="仿宋" w:hAnsi="仿宋" w:eastAsia="仿宋" w:cs="宋体"/>
          <w:sz w:val="32"/>
          <w:szCs w:val="32"/>
        </w:rPr>
        <w:t>我部门20</w:t>
      </w:r>
      <w:r>
        <w:rPr>
          <w:rFonts w:hint="eastAsia" w:ascii="仿宋" w:hAnsi="仿宋" w:eastAsia="仿宋" w:cs="宋体"/>
          <w:sz w:val="32"/>
          <w:szCs w:val="32"/>
          <w:lang w:val="en-US" w:eastAsia="zh-CN"/>
        </w:rPr>
        <w:t>23</w:t>
      </w:r>
      <w:r>
        <w:rPr>
          <w:rFonts w:hint="eastAsia" w:ascii="仿宋" w:hAnsi="仿宋" w:eastAsia="仿宋" w:cs="宋体"/>
          <w:sz w:val="32"/>
          <w:szCs w:val="32"/>
        </w:rPr>
        <w:t>年度</w:t>
      </w:r>
      <w:r>
        <w:rPr>
          <w:rFonts w:ascii="仿宋" w:hAnsi="仿宋" w:eastAsia="仿宋" w:cs="宋体"/>
          <w:sz w:val="32"/>
          <w:szCs w:val="32"/>
        </w:rPr>
        <w:t>没有使用政府性基金安排的支出</w:t>
      </w:r>
      <w:r>
        <w:rPr>
          <w:rFonts w:hint="eastAsia" w:ascii="仿宋" w:hAnsi="仿宋" w:eastAsia="仿宋" w:cs="宋体"/>
          <w:sz w:val="32"/>
          <w:szCs w:val="32"/>
        </w:rPr>
        <w:t>。</w:t>
      </w:r>
    </w:p>
    <w:p>
      <w:pPr>
        <w:pageBreakBefore w:val="0"/>
        <w:widowControl w:val="0"/>
        <w:kinsoku/>
        <w:wordWrap/>
        <w:overflowPunct/>
        <w:topLinePunct w:val="0"/>
        <w:autoSpaceDE/>
        <w:autoSpaceDN/>
        <w:bidi w:val="0"/>
        <w:adjustRightInd/>
        <w:snapToGrid/>
        <w:spacing w:line="576" w:lineRule="exact"/>
        <w:ind w:firstLine="630" w:firstLineChars="196"/>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七、2023年度收支预算情况总体说明</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20</w:t>
      </w:r>
      <w:r>
        <w:rPr>
          <w:rFonts w:hint="eastAsia" w:ascii="仿宋" w:hAnsi="仿宋" w:eastAsia="仿宋"/>
          <w:sz w:val="32"/>
          <w:szCs w:val="32"/>
          <w:lang w:val="en-US" w:eastAsia="zh-CN"/>
        </w:rPr>
        <w:t>23</w:t>
      </w:r>
      <w:r>
        <w:rPr>
          <w:rFonts w:hint="eastAsia" w:ascii="仿宋" w:hAnsi="仿宋" w:eastAsia="仿宋"/>
          <w:sz w:val="32"/>
          <w:szCs w:val="32"/>
        </w:rPr>
        <w:t>年预算总收入</w:t>
      </w:r>
      <w:r>
        <w:rPr>
          <w:rFonts w:hint="eastAsia" w:ascii="仿宋" w:hAnsi="仿宋" w:eastAsia="仿宋"/>
          <w:sz w:val="32"/>
          <w:szCs w:val="32"/>
          <w:lang w:val="en-US" w:eastAsia="zh-CN"/>
        </w:rPr>
        <w:t>2868.1</w:t>
      </w:r>
      <w:r>
        <w:rPr>
          <w:rFonts w:hint="eastAsia" w:ascii="仿宋" w:hAnsi="仿宋" w:eastAsia="仿宋"/>
          <w:sz w:val="32"/>
          <w:szCs w:val="32"/>
        </w:rPr>
        <w:t>万元，预算总支出</w:t>
      </w:r>
      <w:r>
        <w:rPr>
          <w:rFonts w:hint="eastAsia" w:ascii="仿宋" w:hAnsi="仿宋" w:eastAsia="仿宋"/>
          <w:sz w:val="32"/>
          <w:szCs w:val="32"/>
          <w:lang w:val="en-US" w:eastAsia="zh-CN"/>
        </w:rPr>
        <w:t>2868.1</w:t>
      </w:r>
      <w:r>
        <w:rPr>
          <w:rFonts w:hint="eastAsia" w:ascii="仿宋" w:hAnsi="仿宋" w:eastAsia="仿宋"/>
          <w:sz w:val="32"/>
          <w:szCs w:val="32"/>
        </w:rPr>
        <w:t>万元。</w:t>
      </w:r>
    </w:p>
    <w:p>
      <w:pPr>
        <w:pageBreakBefore w:val="0"/>
        <w:widowControl w:val="0"/>
        <w:kinsoku/>
        <w:wordWrap/>
        <w:overflowPunct/>
        <w:topLinePunct w:val="0"/>
        <w:autoSpaceDE/>
        <w:autoSpaceDN/>
        <w:bidi w:val="0"/>
        <w:adjustRightInd/>
        <w:snapToGrid/>
        <w:spacing w:line="576" w:lineRule="exact"/>
        <w:ind w:firstLine="630" w:firstLineChars="196"/>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八、关于部门收入总表的说明</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20</w:t>
      </w:r>
      <w:r>
        <w:rPr>
          <w:rFonts w:hint="eastAsia" w:ascii="仿宋" w:hAnsi="仿宋" w:eastAsia="仿宋"/>
          <w:sz w:val="32"/>
          <w:szCs w:val="32"/>
          <w:lang w:val="en-US" w:eastAsia="zh-CN"/>
        </w:rPr>
        <w:t>23</w:t>
      </w:r>
      <w:r>
        <w:rPr>
          <w:rFonts w:hint="eastAsia" w:ascii="仿宋" w:hAnsi="仿宋" w:eastAsia="仿宋"/>
          <w:sz w:val="32"/>
          <w:szCs w:val="32"/>
        </w:rPr>
        <w:t>年度预算收入</w:t>
      </w:r>
      <w:r>
        <w:rPr>
          <w:rFonts w:hint="eastAsia" w:ascii="仿宋" w:hAnsi="仿宋" w:eastAsia="仿宋"/>
          <w:sz w:val="32"/>
          <w:szCs w:val="32"/>
          <w:lang w:val="en-US" w:eastAsia="zh-CN"/>
        </w:rPr>
        <w:t>2868.1</w:t>
      </w:r>
      <w:r>
        <w:rPr>
          <w:rFonts w:hint="eastAsia" w:ascii="仿宋" w:hAnsi="仿宋" w:eastAsia="仿宋"/>
          <w:sz w:val="32"/>
          <w:szCs w:val="32"/>
        </w:rPr>
        <w:t>万元，均为财政拨款收入。</w:t>
      </w:r>
    </w:p>
    <w:p>
      <w:pPr>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黑体" w:hAnsi="宋体" w:eastAsia="黑体"/>
          <w:sz w:val="32"/>
          <w:szCs w:val="32"/>
        </w:rPr>
      </w:pPr>
      <w:r>
        <w:rPr>
          <w:rFonts w:hint="eastAsia" w:ascii="楷体_GB2312" w:hAnsi="楷体_GB2312" w:eastAsia="楷体_GB2312" w:cs="楷体_GB2312"/>
          <w:b/>
          <w:bCs/>
          <w:kern w:val="2"/>
          <w:sz w:val="32"/>
          <w:szCs w:val="32"/>
          <w:lang w:val="en-US" w:eastAsia="zh-CN" w:bidi="ar-SA"/>
        </w:rPr>
        <w:t>九、关于部门支出总表的说明</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20</w:t>
      </w:r>
      <w:r>
        <w:rPr>
          <w:rFonts w:hint="eastAsia" w:ascii="仿宋" w:hAnsi="仿宋" w:eastAsia="仿宋"/>
          <w:sz w:val="32"/>
          <w:szCs w:val="32"/>
          <w:lang w:val="en-US" w:eastAsia="zh-CN"/>
        </w:rPr>
        <w:t>23</w:t>
      </w:r>
      <w:r>
        <w:rPr>
          <w:rFonts w:hint="eastAsia" w:ascii="仿宋" w:hAnsi="仿宋" w:eastAsia="仿宋"/>
          <w:sz w:val="32"/>
          <w:szCs w:val="32"/>
        </w:rPr>
        <w:t>年预算支出</w:t>
      </w:r>
      <w:r>
        <w:rPr>
          <w:rFonts w:hint="eastAsia" w:ascii="仿宋" w:hAnsi="仿宋" w:eastAsia="仿宋"/>
          <w:sz w:val="32"/>
          <w:szCs w:val="32"/>
          <w:lang w:val="en-US" w:eastAsia="zh-CN"/>
        </w:rPr>
        <w:t>2868.1</w:t>
      </w:r>
      <w:r>
        <w:rPr>
          <w:rFonts w:hint="eastAsia" w:ascii="仿宋" w:hAnsi="仿宋" w:eastAsia="仿宋"/>
          <w:sz w:val="32"/>
          <w:szCs w:val="32"/>
        </w:rPr>
        <w:t>万元，其中：基本支出</w:t>
      </w:r>
      <w:r>
        <w:rPr>
          <w:rFonts w:hint="eastAsia" w:ascii="仿宋" w:hAnsi="仿宋" w:eastAsia="仿宋"/>
          <w:sz w:val="32"/>
          <w:szCs w:val="32"/>
          <w:lang w:val="en-US" w:eastAsia="zh-CN"/>
        </w:rPr>
        <w:t>1867.65</w:t>
      </w:r>
      <w:r>
        <w:rPr>
          <w:rFonts w:hint="eastAsia" w:ascii="仿宋" w:hAnsi="仿宋" w:eastAsia="仿宋"/>
          <w:sz w:val="32"/>
          <w:szCs w:val="32"/>
        </w:rPr>
        <w:t>万元，项目支出</w:t>
      </w:r>
      <w:r>
        <w:rPr>
          <w:rFonts w:hint="eastAsia" w:ascii="仿宋" w:hAnsi="仿宋" w:eastAsia="仿宋" w:cs="宋体"/>
          <w:sz w:val="32"/>
          <w:szCs w:val="32"/>
          <w:lang w:val="en-US" w:eastAsia="zh-CN"/>
        </w:rPr>
        <w:t>1000.45</w:t>
      </w:r>
      <w:r>
        <w:rPr>
          <w:rFonts w:hint="eastAsia" w:ascii="仿宋" w:hAnsi="仿宋" w:eastAsia="仿宋"/>
          <w:sz w:val="32"/>
          <w:szCs w:val="32"/>
        </w:rPr>
        <w:t>万元。</w:t>
      </w:r>
    </w:p>
    <w:p>
      <w:pPr>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十、其他重要事项的情况说明</w:t>
      </w:r>
    </w:p>
    <w:p>
      <w:pPr>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b/>
          <w:bCs/>
          <w:sz w:val="32"/>
          <w:szCs w:val="32"/>
        </w:rPr>
      </w:pPr>
      <w:r>
        <w:rPr>
          <w:rFonts w:hint="eastAsia" w:ascii="仿宋" w:hAnsi="仿宋" w:eastAsia="仿宋"/>
          <w:b/>
          <w:bCs/>
          <w:sz w:val="32"/>
          <w:szCs w:val="32"/>
          <w:lang w:eastAsia="zh-CN"/>
        </w:rPr>
        <w:t>（一）</w:t>
      </w:r>
      <w:r>
        <w:rPr>
          <w:rFonts w:hint="eastAsia" w:ascii="仿宋" w:hAnsi="仿宋" w:eastAsia="仿宋"/>
          <w:b/>
          <w:bCs/>
          <w:sz w:val="32"/>
          <w:szCs w:val="32"/>
        </w:rPr>
        <w:t>20</w:t>
      </w:r>
      <w:r>
        <w:rPr>
          <w:rFonts w:hint="eastAsia" w:ascii="仿宋" w:hAnsi="仿宋" w:eastAsia="仿宋"/>
          <w:b/>
          <w:bCs/>
          <w:sz w:val="32"/>
          <w:szCs w:val="32"/>
          <w:lang w:val="en-US" w:eastAsia="zh-CN"/>
        </w:rPr>
        <w:t>23</w:t>
      </w:r>
      <w:r>
        <w:rPr>
          <w:rFonts w:hint="eastAsia" w:ascii="仿宋" w:hAnsi="仿宋" w:eastAsia="仿宋"/>
          <w:b/>
          <w:bCs/>
          <w:sz w:val="32"/>
          <w:szCs w:val="32"/>
        </w:rPr>
        <w:t>年度机关运行经费安排使用情况</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eastAsia="zh-CN"/>
        </w:rPr>
        <w:t>残疾人就业保障金</w:t>
      </w:r>
      <w:r>
        <w:rPr>
          <w:rFonts w:hint="eastAsia" w:ascii="仿宋" w:hAnsi="仿宋" w:eastAsia="仿宋"/>
          <w:sz w:val="32"/>
          <w:szCs w:val="32"/>
          <w:lang w:val="en-US" w:eastAsia="zh-CN"/>
        </w:rPr>
        <w:t>16万元，</w:t>
      </w:r>
      <w:r>
        <w:rPr>
          <w:rFonts w:hint="eastAsia" w:ascii="仿宋" w:hAnsi="仿宋" w:eastAsia="仿宋"/>
          <w:sz w:val="32"/>
          <w:szCs w:val="32"/>
        </w:rPr>
        <w:t>办公费</w:t>
      </w:r>
      <w:r>
        <w:rPr>
          <w:rFonts w:hint="eastAsia" w:ascii="仿宋" w:hAnsi="仿宋" w:eastAsia="仿宋"/>
          <w:sz w:val="32"/>
          <w:szCs w:val="32"/>
          <w:lang w:val="en-US" w:eastAsia="zh-CN"/>
        </w:rPr>
        <w:t>2.66</w:t>
      </w:r>
      <w:r>
        <w:rPr>
          <w:rFonts w:hint="eastAsia" w:ascii="仿宋" w:hAnsi="仿宋" w:eastAsia="仿宋"/>
          <w:sz w:val="32"/>
          <w:szCs w:val="32"/>
        </w:rPr>
        <w:t>万元，</w:t>
      </w:r>
      <w:r>
        <w:rPr>
          <w:rFonts w:hint="eastAsia" w:ascii="仿宋" w:hAnsi="仿宋" w:eastAsia="仿宋"/>
          <w:sz w:val="32"/>
          <w:szCs w:val="32"/>
          <w:lang w:eastAsia="zh-CN"/>
        </w:rPr>
        <w:t>电费</w:t>
      </w:r>
      <w:r>
        <w:rPr>
          <w:rFonts w:hint="eastAsia" w:ascii="仿宋" w:hAnsi="仿宋" w:eastAsia="仿宋"/>
          <w:sz w:val="32"/>
          <w:szCs w:val="32"/>
          <w:lang w:val="en-US" w:eastAsia="zh-CN"/>
        </w:rPr>
        <w:t>7万元，邮电费8万元，差旅费2万元，维修（护）费2万元，公务接待3万元，委托业务费4.98万元，工会会费24.33万元，福利费0.37万元，公务用车运行维护费30万元，其他交通费用0.54万元，其他商品服务支出12.7万元</w:t>
      </w:r>
      <w:r>
        <w:rPr>
          <w:rFonts w:hint="eastAsia" w:ascii="仿宋" w:hAnsi="仿宋" w:eastAsia="仿宋"/>
          <w:sz w:val="32"/>
          <w:szCs w:val="32"/>
        </w:rPr>
        <w:t>；</w:t>
      </w:r>
    </w:p>
    <w:p>
      <w:pPr>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sz w:val="32"/>
          <w:szCs w:val="32"/>
        </w:rPr>
      </w:pPr>
      <w:r>
        <w:rPr>
          <w:rFonts w:hint="eastAsia" w:ascii="仿宋" w:hAnsi="仿宋" w:eastAsia="仿宋"/>
          <w:b/>
          <w:bCs/>
          <w:sz w:val="32"/>
          <w:szCs w:val="32"/>
          <w:lang w:eastAsia="zh-CN"/>
        </w:rPr>
        <w:t>（二）国有资产占有情况说明</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我单位车辆共</w:t>
      </w:r>
      <w:r>
        <w:rPr>
          <w:rFonts w:hint="eastAsia" w:ascii="仿宋" w:hAnsi="仿宋" w:eastAsia="仿宋"/>
          <w:sz w:val="32"/>
          <w:szCs w:val="32"/>
          <w:lang w:val="en-US" w:eastAsia="zh-CN"/>
        </w:rPr>
        <w:t>9</w:t>
      </w:r>
      <w:r>
        <w:rPr>
          <w:rFonts w:hint="eastAsia" w:ascii="仿宋" w:hAnsi="仿宋" w:eastAsia="仿宋"/>
          <w:sz w:val="32"/>
          <w:szCs w:val="32"/>
        </w:rPr>
        <w:t>辆，其中：其他公务用车</w:t>
      </w:r>
      <w:r>
        <w:rPr>
          <w:rFonts w:hint="eastAsia" w:ascii="仿宋" w:hAnsi="仿宋" w:eastAsia="仿宋"/>
          <w:sz w:val="32"/>
          <w:szCs w:val="32"/>
          <w:lang w:val="en-US" w:eastAsia="zh-CN"/>
        </w:rPr>
        <w:t>9</w:t>
      </w:r>
      <w:r>
        <w:rPr>
          <w:rFonts w:hint="eastAsia" w:ascii="仿宋" w:hAnsi="仿宋" w:eastAsia="仿宋"/>
          <w:sz w:val="32"/>
          <w:szCs w:val="32"/>
        </w:rPr>
        <w:t>辆。</w:t>
      </w:r>
    </w:p>
    <w:p>
      <w:pPr>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b/>
          <w:bCs/>
          <w:sz w:val="32"/>
          <w:szCs w:val="32"/>
          <w:lang w:eastAsia="zh-CN"/>
        </w:rPr>
      </w:pPr>
      <w:r>
        <w:rPr>
          <w:rFonts w:hint="eastAsia" w:ascii="仿宋" w:hAnsi="仿宋" w:eastAsia="仿宋"/>
          <w:b/>
          <w:bCs/>
          <w:sz w:val="32"/>
          <w:szCs w:val="32"/>
          <w:lang w:eastAsia="zh-CN"/>
        </w:rPr>
        <w:t>（三）重点绩效评价结果等预算绩效情况说明</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20</w:t>
      </w:r>
      <w:r>
        <w:rPr>
          <w:rFonts w:hint="eastAsia" w:ascii="仿宋" w:hAnsi="仿宋" w:eastAsia="仿宋"/>
          <w:sz w:val="32"/>
          <w:szCs w:val="32"/>
          <w:lang w:val="en-US" w:eastAsia="zh-CN"/>
        </w:rPr>
        <w:t>23</w:t>
      </w:r>
      <w:r>
        <w:rPr>
          <w:rFonts w:hint="eastAsia" w:ascii="仿宋" w:hAnsi="仿宋" w:eastAsia="仿宋"/>
          <w:sz w:val="32"/>
          <w:szCs w:val="32"/>
        </w:rPr>
        <w:t>年度我单位将推进预算绩效管理，严把绩效目标编制质量关，扎实做好预算绩效目标执行情况动态监控，深入推进重点项目绩效自评，做好绩效评价结果应用，牢固树立“花钱必问效”的绩效理念。</w:t>
      </w:r>
    </w:p>
    <w:p>
      <w:pPr>
        <w:pageBreakBefore w:val="0"/>
        <w:widowControl w:val="0"/>
        <w:numPr>
          <w:ilvl w:val="0"/>
          <w:numId w:val="1"/>
        </w:numPr>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b/>
          <w:bCs/>
          <w:sz w:val="32"/>
          <w:szCs w:val="32"/>
          <w:lang w:eastAsia="zh-CN"/>
        </w:rPr>
      </w:pPr>
      <w:r>
        <w:rPr>
          <w:rFonts w:hint="eastAsia" w:ascii="仿宋" w:hAnsi="仿宋" w:eastAsia="仿宋"/>
          <w:b/>
          <w:bCs/>
          <w:sz w:val="32"/>
          <w:szCs w:val="32"/>
          <w:lang w:eastAsia="zh-CN"/>
        </w:rPr>
        <w:t>扶贫资金</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2023年度我单位无扶贫资金。</w:t>
      </w:r>
    </w:p>
    <w:p>
      <w:pPr>
        <w:pageBreakBefore w:val="0"/>
        <w:widowControl w:val="0"/>
        <w:numPr>
          <w:ilvl w:val="0"/>
          <w:numId w:val="1"/>
        </w:numPr>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举借债务情况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仿宋" w:hAnsi="仿宋" w:eastAsia="仿宋"/>
          <w:sz w:val="32"/>
          <w:szCs w:val="32"/>
          <w:lang w:val="en-US" w:eastAsia="zh-CN"/>
        </w:rPr>
        <w:t>2023年度我单位无债务。</w:t>
      </w:r>
    </w:p>
    <w:p>
      <w:pPr>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宋体" w:eastAsia="黑体"/>
          <w:sz w:val="44"/>
          <w:szCs w:val="44"/>
        </w:rPr>
      </w:pPr>
    </w:p>
    <w:p>
      <w:pPr>
        <w:pStyle w:val="2"/>
        <w:pageBreakBefore w:val="0"/>
        <w:widowControl w:val="0"/>
        <w:kinsoku/>
        <w:wordWrap/>
        <w:overflowPunct/>
        <w:topLinePunct w:val="0"/>
        <w:autoSpaceDE/>
        <w:autoSpaceDN/>
        <w:bidi w:val="0"/>
        <w:adjustRightInd/>
        <w:snapToGrid/>
        <w:spacing w:line="576" w:lineRule="exact"/>
        <w:textAlignment w:val="auto"/>
        <w:rPr>
          <w:rFonts w:hint="eastAsia"/>
        </w:rPr>
      </w:pPr>
    </w:p>
    <w:p>
      <w:pPr>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宋体" w:eastAsia="黑体"/>
          <w:sz w:val="32"/>
          <w:szCs w:val="32"/>
        </w:rPr>
      </w:pPr>
      <w:r>
        <w:rPr>
          <w:rFonts w:hint="eastAsia" w:ascii="黑体" w:hAnsi="宋体" w:eastAsia="黑体"/>
          <w:sz w:val="32"/>
          <w:szCs w:val="32"/>
        </w:rPr>
        <w:t>第四部分</w:t>
      </w:r>
    </w:p>
    <w:p>
      <w:pPr>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宋体" w:eastAsia="黑体"/>
          <w:sz w:val="32"/>
          <w:szCs w:val="32"/>
        </w:rPr>
      </w:pPr>
    </w:p>
    <w:p>
      <w:pPr>
        <w:pageBreakBefore w:val="0"/>
        <w:widowControl w:val="0"/>
        <w:kinsoku/>
        <w:wordWrap/>
        <w:overflowPunct/>
        <w:topLinePunct w:val="0"/>
        <w:autoSpaceDE/>
        <w:autoSpaceDN/>
        <w:bidi w:val="0"/>
        <w:adjustRightInd/>
        <w:snapToGrid/>
        <w:spacing w:line="576" w:lineRule="exact"/>
        <w:jc w:val="center"/>
        <w:textAlignment w:val="auto"/>
        <w:rPr>
          <w:rFonts w:ascii="黑体" w:hAnsi="宋体" w:eastAsia="黑体"/>
          <w:sz w:val="32"/>
          <w:szCs w:val="32"/>
        </w:rPr>
      </w:pPr>
      <w:r>
        <w:rPr>
          <w:rFonts w:hint="eastAsia" w:ascii="黑体" w:hAnsi="宋体" w:eastAsia="黑体"/>
          <w:sz w:val="32"/>
          <w:szCs w:val="32"/>
        </w:rPr>
        <w:t>名词解释</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一、一般公共预算拨款收入：指财政部门当年拨付的资金。</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宋体" w:eastAsia="仿宋_GB2312" w:cs="宋体"/>
          <w:sz w:val="32"/>
          <w:szCs w:val="32"/>
        </w:rPr>
      </w:pPr>
      <w:r>
        <w:rPr>
          <w:rFonts w:hint="eastAsia" w:ascii="仿宋_GB2312" w:hAnsi="仿宋_GB2312" w:eastAsia="仿宋_GB2312" w:cs="仿宋_GB2312"/>
          <w:sz w:val="32"/>
          <w:szCs w:val="32"/>
        </w:rPr>
        <w:t>二、其他收入：指上述“一般公共预算拨款收入”以外的收入。主要是按规定动用的售房收入、存款利息收入等。</w:t>
      </w:r>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sz w:val="24"/>
        <w:szCs w:val="24"/>
      </w:rPr>
    </w:pPr>
    <w:r>
      <w:rPr>
        <w:sz w:val="24"/>
        <w:szCs w:val="24"/>
      </w:rPr>
      <w:fldChar w:fldCharType="begin"/>
    </w:r>
    <w:r>
      <w:rPr>
        <w:rStyle w:val="11"/>
        <w:sz w:val="24"/>
        <w:szCs w:val="24"/>
      </w:rPr>
      <w:instrText xml:space="preserve">PAGE  </w:instrText>
    </w:r>
    <w:r>
      <w:rPr>
        <w:sz w:val="24"/>
        <w:szCs w:val="24"/>
      </w:rPr>
      <w:fldChar w:fldCharType="separate"/>
    </w:r>
    <w:r>
      <w:rPr>
        <w:rStyle w:val="11"/>
        <w:sz w:val="24"/>
        <w:szCs w:val="24"/>
      </w:rPr>
      <w:t>1</w:t>
    </w:r>
    <w:r>
      <w:rPr>
        <w:sz w:val="24"/>
        <w:szCs w:val="24"/>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90A262"/>
    <w:multiLevelType w:val="singleLevel"/>
    <w:tmpl w:val="5C90A262"/>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6E0"/>
    <w:rsid w:val="00000EDB"/>
    <w:rsid w:val="00000F6C"/>
    <w:rsid w:val="00001BB3"/>
    <w:rsid w:val="00001F55"/>
    <w:rsid w:val="0000201D"/>
    <w:rsid w:val="00005BCF"/>
    <w:rsid w:val="000064B6"/>
    <w:rsid w:val="0000666C"/>
    <w:rsid w:val="00012974"/>
    <w:rsid w:val="00013C37"/>
    <w:rsid w:val="00015342"/>
    <w:rsid w:val="00015F4D"/>
    <w:rsid w:val="000348B8"/>
    <w:rsid w:val="00043BD0"/>
    <w:rsid w:val="00044A1F"/>
    <w:rsid w:val="00070A0E"/>
    <w:rsid w:val="000732EB"/>
    <w:rsid w:val="0007736D"/>
    <w:rsid w:val="0009277E"/>
    <w:rsid w:val="000A0A9E"/>
    <w:rsid w:val="000A0C30"/>
    <w:rsid w:val="000A192B"/>
    <w:rsid w:val="000A3238"/>
    <w:rsid w:val="000A60CD"/>
    <w:rsid w:val="000A79B6"/>
    <w:rsid w:val="000B1B29"/>
    <w:rsid w:val="000B45A9"/>
    <w:rsid w:val="000C3248"/>
    <w:rsid w:val="000C43F9"/>
    <w:rsid w:val="000C6C13"/>
    <w:rsid w:val="000D4C3E"/>
    <w:rsid w:val="000D6154"/>
    <w:rsid w:val="000D65E8"/>
    <w:rsid w:val="000E231B"/>
    <w:rsid w:val="000E2EDA"/>
    <w:rsid w:val="000F438D"/>
    <w:rsid w:val="001026E0"/>
    <w:rsid w:val="00102B0E"/>
    <w:rsid w:val="00124CE8"/>
    <w:rsid w:val="001251FE"/>
    <w:rsid w:val="001252E5"/>
    <w:rsid w:val="001337DD"/>
    <w:rsid w:val="00151634"/>
    <w:rsid w:val="00151DFA"/>
    <w:rsid w:val="001520CC"/>
    <w:rsid w:val="001549E6"/>
    <w:rsid w:val="001566F8"/>
    <w:rsid w:val="0017073B"/>
    <w:rsid w:val="0017102B"/>
    <w:rsid w:val="00172075"/>
    <w:rsid w:val="00175B34"/>
    <w:rsid w:val="00185BD5"/>
    <w:rsid w:val="00193FEF"/>
    <w:rsid w:val="00194610"/>
    <w:rsid w:val="001A70D7"/>
    <w:rsid w:val="001A7B4D"/>
    <w:rsid w:val="001B1B7B"/>
    <w:rsid w:val="001B4065"/>
    <w:rsid w:val="001B767B"/>
    <w:rsid w:val="001B7E79"/>
    <w:rsid w:val="001C0178"/>
    <w:rsid w:val="001C385C"/>
    <w:rsid w:val="001C67CF"/>
    <w:rsid w:val="001D49EE"/>
    <w:rsid w:val="001D660B"/>
    <w:rsid w:val="001E3BFC"/>
    <w:rsid w:val="001E5501"/>
    <w:rsid w:val="001E6D89"/>
    <w:rsid w:val="001F47BD"/>
    <w:rsid w:val="001F71D2"/>
    <w:rsid w:val="00202E30"/>
    <w:rsid w:val="00215B43"/>
    <w:rsid w:val="00215EC4"/>
    <w:rsid w:val="00220B54"/>
    <w:rsid w:val="00221072"/>
    <w:rsid w:val="002240B5"/>
    <w:rsid w:val="002262B6"/>
    <w:rsid w:val="002263A9"/>
    <w:rsid w:val="002273C8"/>
    <w:rsid w:val="00234E67"/>
    <w:rsid w:val="00235F5D"/>
    <w:rsid w:val="00237C88"/>
    <w:rsid w:val="00240438"/>
    <w:rsid w:val="002420A3"/>
    <w:rsid w:val="00247AB6"/>
    <w:rsid w:val="00253C37"/>
    <w:rsid w:val="00273900"/>
    <w:rsid w:val="00285BB0"/>
    <w:rsid w:val="0029059A"/>
    <w:rsid w:val="002934AF"/>
    <w:rsid w:val="00295D05"/>
    <w:rsid w:val="002A3954"/>
    <w:rsid w:val="002C7AC2"/>
    <w:rsid w:val="002D6813"/>
    <w:rsid w:val="002D6EF9"/>
    <w:rsid w:val="002E229B"/>
    <w:rsid w:val="002E403D"/>
    <w:rsid w:val="002F4437"/>
    <w:rsid w:val="002F47BA"/>
    <w:rsid w:val="00305367"/>
    <w:rsid w:val="0030679E"/>
    <w:rsid w:val="0031669D"/>
    <w:rsid w:val="00316AC5"/>
    <w:rsid w:val="003173B5"/>
    <w:rsid w:val="00322768"/>
    <w:rsid w:val="00323CD0"/>
    <w:rsid w:val="00336582"/>
    <w:rsid w:val="00340D49"/>
    <w:rsid w:val="00344BE5"/>
    <w:rsid w:val="0035015A"/>
    <w:rsid w:val="00353909"/>
    <w:rsid w:val="00354A37"/>
    <w:rsid w:val="00354F73"/>
    <w:rsid w:val="003568CC"/>
    <w:rsid w:val="00374846"/>
    <w:rsid w:val="00376D13"/>
    <w:rsid w:val="003771ED"/>
    <w:rsid w:val="0039576F"/>
    <w:rsid w:val="003A328F"/>
    <w:rsid w:val="003A409E"/>
    <w:rsid w:val="003B12A0"/>
    <w:rsid w:val="003B737F"/>
    <w:rsid w:val="003C15F0"/>
    <w:rsid w:val="003C37CA"/>
    <w:rsid w:val="003E113F"/>
    <w:rsid w:val="003E11CF"/>
    <w:rsid w:val="003F1CC7"/>
    <w:rsid w:val="003F54E4"/>
    <w:rsid w:val="00400240"/>
    <w:rsid w:val="00404324"/>
    <w:rsid w:val="00406674"/>
    <w:rsid w:val="004079B5"/>
    <w:rsid w:val="00407FCD"/>
    <w:rsid w:val="004177D0"/>
    <w:rsid w:val="00424873"/>
    <w:rsid w:val="00427770"/>
    <w:rsid w:val="00430C57"/>
    <w:rsid w:val="004401A5"/>
    <w:rsid w:val="00450C91"/>
    <w:rsid w:val="004521D5"/>
    <w:rsid w:val="004539FE"/>
    <w:rsid w:val="00455406"/>
    <w:rsid w:val="00457B28"/>
    <w:rsid w:val="00457EA9"/>
    <w:rsid w:val="00463366"/>
    <w:rsid w:val="00473415"/>
    <w:rsid w:val="0048190F"/>
    <w:rsid w:val="00483DD6"/>
    <w:rsid w:val="0049276B"/>
    <w:rsid w:val="00492F9D"/>
    <w:rsid w:val="0049330E"/>
    <w:rsid w:val="00494650"/>
    <w:rsid w:val="00496BCA"/>
    <w:rsid w:val="004B003D"/>
    <w:rsid w:val="004B1224"/>
    <w:rsid w:val="004B7A0B"/>
    <w:rsid w:val="004C1266"/>
    <w:rsid w:val="004C210D"/>
    <w:rsid w:val="004C59E0"/>
    <w:rsid w:val="004C6447"/>
    <w:rsid w:val="004C6EEC"/>
    <w:rsid w:val="004D5739"/>
    <w:rsid w:val="004D7EC3"/>
    <w:rsid w:val="004E0DB2"/>
    <w:rsid w:val="004E310E"/>
    <w:rsid w:val="004E41D6"/>
    <w:rsid w:val="00501190"/>
    <w:rsid w:val="00511325"/>
    <w:rsid w:val="0051560E"/>
    <w:rsid w:val="00516EAA"/>
    <w:rsid w:val="00524045"/>
    <w:rsid w:val="0052615B"/>
    <w:rsid w:val="00534A7C"/>
    <w:rsid w:val="005378BC"/>
    <w:rsid w:val="00543037"/>
    <w:rsid w:val="00544157"/>
    <w:rsid w:val="005468A0"/>
    <w:rsid w:val="0055534D"/>
    <w:rsid w:val="00570B6C"/>
    <w:rsid w:val="00574634"/>
    <w:rsid w:val="00574E68"/>
    <w:rsid w:val="0057795E"/>
    <w:rsid w:val="005A03DC"/>
    <w:rsid w:val="005A04FF"/>
    <w:rsid w:val="005A33ED"/>
    <w:rsid w:val="005A4B7E"/>
    <w:rsid w:val="005A60E8"/>
    <w:rsid w:val="005A6770"/>
    <w:rsid w:val="005B095C"/>
    <w:rsid w:val="005B5FE7"/>
    <w:rsid w:val="005B6BEC"/>
    <w:rsid w:val="005B7451"/>
    <w:rsid w:val="005B74BB"/>
    <w:rsid w:val="005C10E0"/>
    <w:rsid w:val="005C4615"/>
    <w:rsid w:val="005C6149"/>
    <w:rsid w:val="005E008A"/>
    <w:rsid w:val="005E1089"/>
    <w:rsid w:val="005E35D0"/>
    <w:rsid w:val="005E76A6"/>
    <w:rsid w:val="00603671"/>
    <w:rsid w:val="0060590B"/>
    <w:rsid w:val="00605E1E"/>
    <w:rsid w:val="006064D1"/>
    <w:rsid w:val="00611519"/>
    <w:rsid w:val="006211FC"/>
    <w:rsid w:val="00625F27"/>
    <w:rsid w:val="006275BE"/>
    <w:rsid w:val="0063162F"/>
    <w:rsid w:val="00633690"/>
    <w:rsid w:val="00642963"/>
    <w:rsid w:val="00645BC3"/>
    <w:rsid w:val="006509C3"/>
    <w:rsid w:val="00651CCF"/>
    <w:rsid w:val="006647E0"/>
    <w:rsid w:val="00670208"/>
    <w:rsid w:val="00675C84"/>
    <w:rsid w:val="00683AD7"/>
    <w:rsid w:val="00696C9A"/>
    <w:rsid w:val="00697DD8"/>
    <w:rsid w:val="006A1673"/>
    <w:rsid w:val="006B19AE"/>
    <w:rsid w:val="006B5008"/>
    <w:rsid w:val="006C6008"/>
    <w:rsid w:val="006C63EC"/>
    <w:rsid w:val="006F0213"/>
    <w:rsid w:val="006F2807"/>
    <w:rsid w:val="006F73F9"/>
    <w:rsid w:val="006F7C26"/>
    <w:rsid w:val="00702EE2"/>
    <w:rsid w:val="00710AD7"/>
    <w:rsid w:val="007201CB"/>
    <w:rsid w:val="00722EC0"/>
    <w:rsid w:val="00723A95"/>
    <w:rsid w:val="00724C7B"/>
    <w:rsid w:val="00726265"/>
    <w:rsid w:val="00732B06"/>
    <w:rsid w:val="00735AE3"/>
    <w:rsid w:val="00747111"/>
    <w:rsid w:val="00747CEF"/>
    <w:rsid w:val="007520E7"/>
    <w:rsid w:val="0075403D"/>
    <w:rsid w:val="00755E95"/>
    <w:rsid w:val="00764C16"/>
    <w:rsid w:val="00771169"/>
    <w:rsid w:val="00771A16"/>
    <w:rsid w:val="0078660B"/>
    <w:rsid w:val="00787B3B"/>
    <w:rsid w:val="00787B6B"/>
    <w:rsid w:val="00791121"/>
    <w:rsid w:val="007A06B5"/>
    <w:rsid w:val="007A0843"/>
    <w:rsid w:val="007A647B"/>
    <w:rsid w:val="007A7BB5"/>
    <w:rsid w:val="007B055E"/>
    <w:rsid w:val="007C456D"/>
    <w:rsid w:val="007C76E2"/>
    <w:rsid w:val="007D01EE"/>
    <w:rsid w:val="007D65BE"/>
    <w:rsid w:val="007E22B6"/>
    <w:rsid w:val="007F2636"/>
    <w:rsid w:val="007F73DD"/>
    <w:rsid w:val="008026B4"/>
    <w:rsid w:val="0080588D"/>
    <w:rsid w:val="0080667E"/>
    <w:rsid w:val="00806D27"/>
    <w:rsid w:val="008131FD"/>
    <w:rsid w:val="00815858"/>
    <w:rsid w:val="00817218"/>
    <w:rsid w:val="00820681"/>
    <w:rsid w:val="00825BE5"/>
    <w:rsid w:val="00827238"/>
    <w:rsid w:val="0083170F"/>
    <w:rsid w:val="008366DE"/>
    <w:rsid w:val="00846054"/>
    <w:rsid w:val="00854E0F"/>
    <w:rsid w:val="00855772"/>
    <w:rsid w:val="00856BBB"/>
    <w:rsid w:val="0086333C"/>
    <w:rsid w:val="00864CD9"/>
    <w:rsid w:val="0086784E"/>
    <w:rsid w:val="00873545"/>
    <w:rsid w:val="00882707"/>
    <w:rsid w:val="00883FBC"/>
    <w:rsid w:val="00885B2D"/>
    <w:rsid w:val="0088732D"/>
    <w:rsid w:val="00891A65"/>
    <w:rsid w:val="00894AD1"/>
    <w:rsid w:val="008C1C35"/>
    <w:rsid w:val="008C4BF3"/>
    <w:rsid w:val="008C61C6"/>
    <w:rsid w:val="008D2486"/>
    <w:rsid w:val="008D63C0"/>
    <w:rsid w:val="008E7029"/>
    <w:rsid w:val="008F0FFC"/>
    <w:rsid w:val="00902033"/>
    <w:rsid w:val="00902AF7"/>
    <w:rsid w:val="00912399"/>
    <w:rsid w:val="00916092"/>
    <w:rsid w:val="0093086A"/>
    <w:rsid w:val="00943B80"/>
    <w:rsid w:val="009448EE"/>
    <w:rsid w:val="0094709C"/>
    <w:rsid w:val="00952777"/>
    <w:rsid w:val="00952DF0"/>
    <w:rsid w:val="00953418"/>
    <w:rsid w:val="00955C3B"/>
    <w:rsid w:val="0095707E"/>
    <w:rsid w:val="00977DCC"/>
    <w:rsid w:val="00980D17"/>
    <w:rsid w:val="009835B9"/>
    <w:rsid w:val="00984D7E"/>
    <w:rsid w:val="009853D9"/>
    <w:rsid w:val="009934E3"/>
    <w:rsid w:val="00997F6A"/>
    <w:rsid w:val="009A10B7"/>
    <w:rsid w:val="009A1539"/>
    <w:rsid w:val="009C33EF"/>
    <w:rsid w:val="009C6035"/>
    <w:rsid w:val="009D1A24"/>
    <w:rsid w:val="009D4CAA"/>
    <w:rsid w:val="009D7608"/>
    <w:rsid w:val="009F0B70"/>
    <w:rsid w:val="009F4044"/>
    <w:rsid w:val="009F4BBE"/>
    <w:rsid w:val="009F6F84"/>
    <w:rsid w:val="00A00F7F"/>
    <w:rsid w:val="00A0325C"/>
    <w:rsid w:val="00A15D00"/>
    <w:rsid w:val="00A1641F"/>
    <w:rsid w:val="00A16719"/>
    <w:rsid w:val="00A31616"/>
    <w:rsid w:val="00A322E4"/>
    <w:rsid w:val="00A36BAB"/>
    <w:rsid w:val="00A42A72"/>
    <w:rsid w:val="00A42D97"/>
    <w:rsid w:val="00A50FB4"/>
    <w:rsid w:val="00A5423B"/>
    <w:rsid w:val="00A60388"/>
    <w:rsid w:val="00A731F8"/>
    <w:rsid w:val="00A75146"/>
    <w:rsid w:val="00A82216"/>
    <w:rsid w:val="00A8277E"/>
    <w:rsid w:val="00A839A1"/>
    <w:rsid w:val="00A83E50"/>
    <w:rsid w:val="00A84483"/>
    <w:rsid w:val="00A91140"/>
    <w:rsid w:val="00A9298E"/>
    <w:rsid w:val="00A94DA8"/>
    <w:rsid w:val="00AB223F"/>
    <w:rsid w:val="00AC06CE"/>
    <w:rsid w:val="00AC2F74"/>
    <w:rsid w:val="00AD58A5"/>
    <w:rsid w:val="00AF617F"/>
    <w:rsid w:val="00AF702E"/>
    <w:rsid w:val="00B16F04"/>
    <w:rsid w:val="00B207AD"/>
    <w:rsid w:val="00B24B71"/>
    <w:rsid w:val="00B252E9"/>
    <w:rsid w:val="00B330AA"/>
    <w:rsid w:val="00B35DF8"/>
    <w:rsid w:val="00B45488"/>
    <w:rsid w:val="00B456F7"/>
    <w:rsid w:val="00B55C32"/>
    <w:rsid w:val="00B61C08"/>
    <w:rsid w:val="00B6329D"/>
    <w:rsid w:val="00B71D11"/>
    <w:rsid w:val="00B853BC"/>
    <w:rsid w:val="00B93272"/>
    <w:rsid w:val="00B97D4E"/>
    <w:rsid w:val="00BA12E7"/>
    <w:rsid w:val="00BA2282"/>
    <w:rsid w:val="00BA2AAE"/>
    <w:rsid w:val="00BA40D8"/>
    <w:rsid w:val="00BB3820"/>
    <w:rsid w:val="00BC1E99"/>
    <w:rsid w:val="00BC70AF"/>
    <w:rsid w:val="00BD2609"/>
    <w:rsid w:val="00BD4DC6"/>
    <w:rsid w:val="00BE2860"/>
    <w:rsid w:val="00BE5BA0"/>
    <w:rsid w:val="00BE5DCE"/>
    <w:rsid w:val="00BE6B37"/>
    <w:rsid w:val="00BF067B"/>
    <w:rsid w:val="00BF5087"/>
    <w:rsid w:val="00C0374B"/>
    <w:rsid w:val="00C04035"/>
    <w:rsid w:val="00C04C26"/>
    <w:rsid w:val="00C0787C"/>
    <w:rsid w:val="00C16FD2"/>
    <w:rsid w:val="00C2233E"/>
    <w:rsid w:val="00C33398"/>
    <w:rsid w:val="00C4475D"/>
    <w:rsid w:val="00C5078B"/>
    <w:rsid w:val="00C546CF"/>
    <w:rsid w:val="00C57D2E"/>
    <w:rsid w:val="00C630F5"/>
    <w:rsid w:val="00C65B20"/>
    <w:rsid w:val="00C7134B"/>
    <w:rsid w:val="00C74056"/>
    <w:rsid w:val="00C751B6"/>
    <w:rsid w:val="00C851D6"/>
    <w:rsid w:val="00C91F4F"/>
    <w:rsid w:val="00C92A82"/>
    <w:rsid w:val="00C93485"/>
    <w:rsid w:val="00C93F0D"/>
    <w:rsid w:val="00C93FBC"/>
    <w:rsid w:val="00CA01F9"/>
    <w:rsid w:val="00CA21CB"/>
    <w:rsid w:val="00CA495D"/>
    <w:rsid w:val="00CB7E89"/>
    <w:rsid w:val="00CC1636"/>
    <w:rsid w:val="00CC17C4"/>
    <w:rsid w:val="00CC1EE4"/>
    <w:rsid w:val="00CC6057"/>
    <w:rsid w:val="00CE26C6"/>
    <w:rsid w:val="00CE5C16"/>
    <w:rsid w:val="00CE6A3B"/>
    <w:rsid w:val="00CF0127"/>
    <w:rsid w:val="00CF2753"/>
    <w:rsid w:val="00CF4FEB"/>
    <w:rsid w:val="00CF5B78"/>
    <w:rsid w:val="00D03C82"/>
    <w:rsid w:val="00D16C52"/>
    <w:rsid w:val="00D2411D"/>
    <w:rsid w:val="00D3160D"/>
    <w:rsid w:val="00D369EB"/>
    <w:rsid w:val="00D57126"/>
    <w:rsid w:val="00D57776"/>
    <w:rsid w:val="00D6368F"/>
    <w:rsid w:val="00D70A56"/>
    <w:rsid w:val="00D718F4"/>
    <w:rsid w:val="00D76C6E"/>
    <w:rsid w:val="00D77967"/>
    <w:rsid w:val="00D80F51"/>
    <w:rsid w:val="00D81EDD"/>
    <w:rsid w:val="00D85304"/>
    <w:rsid w:val="00D925C8"/>
    <w:rsid w:val="00DA0C82"/>
    <w:rsid w:val="00DA6088"/>
    <w:rsid w:val="00DA78D4"/>
    <w:rsid w:val="00DA7B81"/>
    <w:rsid w:val="00DB2CB8"/>
    <w:rsid w:val="00DB3245"/>
    <w:rsid w:val="00DC50F0"/>
    <w:rsid w:val="00DD5103"/>
    <w:rsid w:val="00DE268F"/>
    <w:rsid w:val="00DF036B"/>
    <w:rsid w:val="00DF4521"/>
    <w:rsid w:val="00DF5B02"/>
    <w:rsid w:val="00E0161D"/>
    <w:rsid w:val="00E017A9"/>
    <w:rsid w:val="00E07B64"/>
    <w:rsid w:val="00E13F71"/>
    <w:rsid w:val="00E23026"/>
    <w:rsid w:val="00E235E1"/>
    <w:rsid w:val="00E55046"/>
    <w:rsid w:val="00E551FA"/>
    <w:rsid w:val="00E70266"/>
    <w:rsid w:val="00E73B7F"/>
    <w:rsid w:val="00E747B0"/>
    <w:rsid w:val="00E772DF"/>
    <w:rsid w:val="00E773CB"/>
    <w:rsid w:val="00E838E0"/>
    <w:rsid w:val="00E900CF"/>
    <w:rsid w:val="00E95D6E"/>
    <w:rsid w:val="00EA4F52"/>
    <w:rsid w:val="00EB29F4"/>
    <w:rsid w:val="00EC6AE3"/>
    <w:rsid w:val="00ED19F0"/>
    <w:rsid w:val="00ED20FD"/>
    <w:rsid w:val="00ED47C1"/>
    <w:rsid w:val="00EE1857"/>
    <w:rsid w:val="00EE21DA"/>
    <w:rsid w:val="00EE23B8"/>
    <w:rsid w:val="00EE2D4F"/>
    <w:rsid w:val="00EE7722"/>
    <w:rsid w:val="00EF42F7"/>
    <w:rsid w:val="00EF4B13"/>
    <w:rsid w:val="00F01B31"/>
    <w:rsid w:val="00F02FF5"/>
    <w:rsid w:val="00F1010B"/>
    <w:rsid w:val="00F11873"/>
    <w:rsid w:val="00F31216"/>
    <w:rsid w:val="00F324AF"/>
    <w:rsid w:val="00F34A73"/>
    <w:rsid w:val="00F401DF"/>
    <w:rsid w:val="00F40FB6"/>
    <w:rsid w:val="00F50831"/>
    <w:rsid w:val="00F530D2"/>
    <w:rsid w:val="00F54C87"/>
    <w:rsid w:val="00F62B7F"/>
    <w:rsid w:val="00F7159E"/>
    <w:rsid w:val="00F72E63"/>
    <w:rsid w:val="00F74D46"/>
    <w:rsid w:val="00F75E95"/>
    <w:rsid w:val="00F81A4A"/>
    <w:rsid w:val="00F9614C"/>
    <w:rsid w:val="00FA340E"/>
    <w:rsid w:val="00FB2EC0"/>
    <w:rsid w:val="00FB385F"/>
    <w:rsid w:val="00FB4373"/>
    <w:rsid w:val="00FC1CBD"/>
    <w:rsid w:val="00FC6165"/>
    <w:rsid w:val="00FC7B6C"/>
    <w:rsid w:val="00FD1AEB"/>
    <w:rsid w:val="00FD539C"/>
    <w:rsid w:val="00FE25CC"/>
    <w:rsid w:val="00FE4C5E"/>
    <w:rsid w:val="00FE6733"/>
    <w:rsid w:val="00FF34F0"/>
    <w:rsid w:val="00FF39E9"/>
    <w:rsid w:val="00FF68DD"/>
    <w:rsid w:val="015D0D28"/>
    <w:rsid w:val="05F606E7"/>
    <w:rsid w:val="07C82DF2"/>
    <w:rsid w:val="08EA7012"/>
    <w:rsid w:val="0EFD156A"/>
    <w:rsid w:val="11EB5533"/>
    <w:rsid w:val="18C418F5"/>
    <w:rsid w:val="1B3071D9"/>
    <w:rsid w:val="203C0FBD"/>
    <w:rsid w:val="26203F00"/>
    <w:rsid w:val="27081FE4"/>
    <w:rsid w:val="28265EEF"/>
    <w:rsid w:val="2A966E95"/>
    <w:rsid w:val="2B790E37"/>
    <w:rsid w:val="2E6239C9"/>
    <w:rsid w:val="30FD1483"/>
    <w:rsid w:val="341620FE"/>
    <w:rsid w:val="34354621"/>
    <w:rsid w:val="36FA4C0F"/>
    <w:rsid w:val="3B20760D"/>
    <w:rsid w:val="3FBE5662"/>
    <w:rsid w:val="4116589D"/>
    <w:rsid w:val="42536837"/>
    <w:rsid w:val="467A5887"/>
    <w:rsid w:val="46AA46C7"/>
    <w:rsid w:val="4CAE4827"/>
    <w:rsid w:val="4EBA0A57"/>
    <w:rsid w:val="543D65CF"/>
    <w:rsid w:val="578121A6"/>
    <w:rsid w:val="5A984376"/>
    <w:rsid w:val="5CAF6758"/>
    <w:rsid w:val="665D1A1F"/>
    <w:rsid w:val="6964000B"/>
    <w:rsid w:val="6BDB0BB7"/>
    <w:rsid w:val="6D8D2E94"/>
    <w:rsid w:val="6EF92952"/>
    <w:rsid w:val="75903895"/>
    <w:rsid w:val="75AB6EF5"/>
    <w:rsid w:val="77D7036B"/>
    <w:rsid w:val="7DC72FC0"/>
    <w:rsid w:val="7DD004F9"/>
    <w:rsid w:val="7E56431E"/>
    <w:rsid w:val="7F5D513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rFonts w:ascii="Times New Roman" w:hAnsi="Times New Roman" w:eastAsia="宋体" w:cs="Times New Roman"/>
      <w:b/>
      <w:bCs/>
      <w:kern w:val="44"/>
      <w:sz w:val="44"/>
      <w:szCs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semiHidden/>
    <w:qFormat/>
    <w:uiPriority w:val="0"/>
    <w:pPr>
      <w:jc w:val="left"/>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semiHidden/>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annotation reference"/>
    <w:semiHidden/>
    <w:qFormat/>
    <w:uiPriority w:val="0"/>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599</Words>
  <Characters>3417</Characters>
  <Lines>28</Lines>
  <Paragraphs>8</Paragraphs>
  <TotalTime>24</TotalTime>
  <ScaleCrop>false</ScaleCrop>
  <LinksUpToDate>false</LinksUpToDate>
  <CharactersWithSpaces>4008</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2016-03-10T01:23:00Z</dcterms:created>
  <dc:creator>微软用户</dc:creator>
  <cp:lastModifiedBy>Gongzi༄Yu</cp:lastModifiedBy>
  <cp:lastPrinted>2015-11-17T10:43:00Z</cp:lastPrinted>
  <dcterms:modified xsi:type="dcterms:W3CDTF">2023-01-17T09:20:50Z</dcterms:modified>
  <dc:title>2013年度西藏自治区教育厅</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A79ED717A91544EEB9E2B19489E911EC</vt:lpwstr>
  </property>
</Properties>
</file>